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"/>
        <w:gridCol w:w="129"/>
        <w:gridCol w:w="897"/>
        <w:gridCol w:w="415"/>
        <w:gridCol w:w="371"/>
        <w:gridCol w:w="845"/>
        <w:gridCol w:w="731"/>
        <w:gridCol w:w="639"/>
        <w:gridCol w:w="934"/>
        <w:gridCol w:w="98"/>
        <w:gridCol w:w="752"/>
        <w:gridCol w:w="98"/>
        <w:gridCol w:w="1987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F0595C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F0595C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40A88AA3" w:rsidR="002B5AC4" w:rsidRPr="00334001" w:rsidRDefault="00F3797C" w:rsidP="00334001">
            <w:pPr>
              <w:rPr>
                <w:b/>
                <w:bCs/>
                <w:i/>
                <w:iCs/>
              </w:rPr>
            </w:pPr>
            <w:r w:rsidRPr="00470DC2">
              <w:rPr>
                <w:b/>
                <w:bCs/>
                <w:i/>
                <w:iCs/>
                <w:color w:val="000000"/>
              </w:rPr>
              <w:t>1</w:t>
            </w:r>
            <w:r w:rsidR="002D4B10">
              <w:rPr>
                <w:b/>
                <w:bCs/>
                <w:i/>
                <w:iCs/>
                <w:color w:val="000000"/>
              </w:rPr>
              <w:t>9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</w:t>
            </w:r>
            <w:r w:rsidR="002D4B10">
              <w:rPr>
                <w:b/>
                <w:bCs/>
                <w:i/>
                <w:iCs/>
                <w:color w:val="000000"/>
              </w:rPr>
              <w:t>01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.202</w:t>
            </w:r>
            <w:r w:rsidR="002D4B10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632DB726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7414A8" w:rsidRPr="007414A8">
              <w:rPr>
                <w:b/>
                <w:i/>
              </w:rPr>
              <w:t>П02-0</w:t>
            </w:r>
            <w:r w:rsidR="00F3797C">
              <w:rPr>
                <w:b/>
                <w:i/>
              </w:rPr>
              <w:t>2</w:t>
            </w:r>
            <w:r w:rsidRPr="003864B0">
              <w:rPr>
                <w:b/>
                <w:i/>
              </w:rPr>
              <w:t xml:space="preserve">, идентификационный номер выпуска ценных бумаг эмитента и дата его присвоения: </w:t>
            </w:r>
            <w:r w:rsidR="00F3797C" w:rsidRPr="00F3797C">
              <w:rPr>
                <w:b/>
                <w:i/>
              </w:rPr>
              <w:t>4B02-02-55194-E-002P от 11.11.2025</w:t>
            </w:r>
            <w:r w:rsidRPr="003864B0">
              <w:rPr>
                <w:b/>
                <w:i/>
              </w:rPr>
              <w:t>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</w:t>
            </w:r>
            <w:r w:rsidR="00F3797C" w:rsidRPr="00F3797C">
              <w:rPr>
                <w:b/>
                <w:i/>
              </w:rPr>
              <w:t>RU000A10DG86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F3797C" w:rsidRPr="009428B3">
              <w:rPr>
                <w:rFonts w:eastAsiaTheme="minorEastAsia"/>
                <w:b/>
                <w:i/>
              </w:rPr>
              <w:t>DBVUFB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49D67D52" w:rsidR="00CB4E4C" w:rsidRPr="00470DC2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период, дата начала которого –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.2025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="0044186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432BB86C" w:rsidR="009E1A56" w:rsidRPr="00470DC2" w:rsidRDefault="00CB4E4C" w:rsidP="0035433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общий размер доходов, выплаченных по Биржевым облигациям за </w:t>
            </w:r>
            <w:r w:rsidR="003F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BD74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730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000,00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 сорок 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пять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миллион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семьсот тридцать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тысяч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64D2FA7E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выплаченных по одной Биржевой облигации за </w:t>
            </w:r>
            <w:r w:rsidR="007159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второй 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2E7C34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</w:t>
            </w:r>
            <w:r w:rsidR="00B558F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тнадцать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тридцать четыре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копе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йк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на одну Биржевую облигацию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1720178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00 000 (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девять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миллионов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тысяч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67978A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на которую определялись лица, имевшие право на получение дивидендов</w:t>
            </w:r>
            <w:r w:rsidR="00B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в случае, если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доходами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ценным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бумагам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эмитента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513079A4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470DC2" w:rsidRDefault="002B5AC4" w:rsidP="00334001">
            <w:pPr>
              <w:ind w:left="80"/>
            </w:pPr>
            <w:r w:rsidRPr="00470DC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029F3D9B" w:rsidR="002B5AC4" w:rsidRPr="00470DC2" w:rsidRDefault="00117EF6" w:rsidP="00334001">
            <w:r w:rsidRPr="00470DC2">
              <w:t>«</w:t>
            </w:r>
            <w:r w:rsidR="004F0856" w:rsidRPr="00470DC2">
              <w:t>1</w:t>
            </w:r>
            <w:r w:rsidR="00F0595C">
              <w:t>9</w:t>
            </w:r>
            <w:bookmarkStart w:id="0" w:name="_GoBack"/>
            <w:bookmarkEnd w:id="0"/>
            <w:r w:rsidR="002B5AC4" w:rsidRPr="00470DC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470DC2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37C4B1EB" w:rsidR="002B5AC4" w:rsidRPr="00470DC2" w:rsidRDefault="002D4B10" w:rsidP="00B558F8">
            <w:r>
              <w:t>января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470DC2" w:rsidRDefault="002B5AC4" w:rsidP="00334001">
            <w:pPr>
              <w:ind w:left="80"/>
              <w:jc w:val="right"/>
            </w:pPr>
            <w:r w:rsidRPr="00470DC2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2D2D0F4A" w:rsidR="002B5AC4" w:rsidRPr="00D92BA6" w:rsidRDefault="002B5AC4" w:rsidP="00334001">
            <w:r w:rsidRPr="00D92BA6">
              <w:t>2</w:t>
            </w:r>
            <w:r w:rsidR="002D4B10">
              <w:t>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453A"/>
    <w:rsid w:val="00117EF6"/>
    <w:rsid w:val="00120064"/>
    <w:rsid w:val="00132160"/>
    <w:rsid w:val="00135748"/>
    <w:rsid w:val="00155632"/>
    <w:rsid w:val="00183800"/>
    <w:rsid w:val="00185988"/>
    <w:rsid w:val="001A7BAE"/>
    <w:rsid w:val="001C5284"/>
    <w:rsid w:val="001D6EC2"/>
    <w:rsid w:val="002639A6"/>
    <w:rsid w:val="002778DF"/>
    <w:rsid w:val="002B5AC4"/>
    <w:rsid w:val="002D4B10"/>
    <w:rsid w:val="002E2190"/>
    <w:rsid w:val="002E7C34"/>
    <w:rsid w:val="00303DEB"/>
    <w:rsid w:val="0032710F"/>
    <w:rsid w:val="00334001"/>
    <w:rsid w:val="00341757"/>
    <w:rsid w:val="00346A4B"/>
    <w:rsid w:val="00354336"/>
    <w:rsid w:val="003864B0"/>
    <w:rsid w:val="003F7632"/>
    <w:rsid w:val="00425463"/>
    <w:rsid w:val="00441861"/>
    <w:rsid w:val="00456A0B"/>
    <w:rsid w:val="00470DC2"/>
    <w:rsid w:val="004B06F7"/>
    <w:rsid w:val="004F0856"/>
    <w:rsid w:val="0050684B"/>
    <w:rsid w:val="0052284A"/>
    <w:rsid w:val="005237E0"/>
    <w:rsid w:val="006457D2"/>
    <w:rsid w:val="00662B1E"/>
    <w:rsid w:val="00672AFD"/>
    <w:rsid w:val="006A5CA2"/>
    <w:rsid w:val="006B3ECF"/>
    <w:rsid w:val="006B7AAF"/>
    <w:rsid w:val="006F18FD"/>
    <w:rsid w:val="007126B0"/>
    <w:rsid w:val="0071594B"/>
    <w:rsid w:val="00717922"/>
    <w:rsid w:val="0072012C"/>
    <w:rsid w:val="007414A8"/>
    <w:rsid w:val="00766BA7"/>
    <w:rsid w:val="007E1613"/>
    <w:rsid w:val="00846E68"/>
    <w:rsid w:val="00885C20"/>
    <w:rsid w:val="008C6DA2"/>
    <w:rsid w:val="008E0551"/>
    <w:rsid w:val="009676D1"/>
    <w:rsid w:val="009A15DC"/>
    <w:rsid w:val="009E1A56"/>
    <w:rsid w:val="00A93ECD"/>
    <w:rsid w:val="00B07641"/>
    <w:rsid w:val="00B558F8"/>
    <w:rsid w:val="00B76D77"/>
    <w:rsid w:val="00BC20B2"/>
    <w:rsid w:val="00BD74A6"/>
    <w:rsid w:val="00BF5627"/>
    <w:rsid w:val="00BF6C56"/>
    <w:rsid w:val="00C25075"/>
    <w:rsid w:val="00C61C74"/>
    <w:rsid w:val="00C754AF"/>
    <w:rsid w:val="00CB4E4C"/>
    <w:rsid w:val="00CC7D50"/>
    <w:rsid w:val="00CD3EF4"/>
    <w:rsid w:val="00CF2A52"/>
    <w:rsid w:val="00D6497B"/>
    <w:rsid w:val="00D74E92"/>
    <w:rsid w:val="00D92BA6"/>
    <w:rsid w:val="00DA590D"/>
    <w:rsid w:val="00DF2EED"/>
    <w:rsid w:val="00E116E2"/>
    <w:rsid w:val="00E96B3E"/>
    <w:rsid w:val="00EA2329"/>
    <w:rsid w:val="00F006F1"/>
    <w:rsid w:val="00F0595C"/>
    <w:rsid w:val="00F17A82"/>
    <w:rsid w:val="00F3797C"/>
    <w:rsid w:val="00F637DD"/>
    <w:rsid w:val="00FB32A1"/>
    <w:rsid w:val="00FC5AA9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F1FF9E-A696-42DD-A344-A0B2F52C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33</cp:revision>
  <dcterms:created xsi:type="dcterms:W3CDTF">2024-10-28T08:15:00Z</dcterms:created>
  <dcterms:modified xsi:type="dcterms:W3CDTF">2026-01-19T10:43:00Z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