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ECD" w:rsidRPr="002C5844" w:rsidRDefault="00D36ECD" w:rsidP="00AC18DD">
      <w:pPr>
        <w:shd w:val="clear" w:color="auto" w:fill="FFFFFF"/>
        <w:jc w:val="center"/>
        <w:rPr>
          <w:b/>
          <w:bCs/>
          <w:color w:val="000000"/>
        </w:rPr>
      </w:pPr>
      <w:r w:rsidRPr="002C5844">
        <w:rPr>
          <w:b/>
          <w:bCs/>
          <w:color w:val="000000"/>
        </w:rPr>
        <w:t xml:space="preserve">Сообщение </w:t>
      </w:r>
    </w:p>
    <w:p w:rsidR="0019507F" w:rsidRPr="002C5844" w:rsidRDefault="0019507F" w:rsidP="009D5009">
      <w:pPr>
        <w:pStyle w:val="ConsPlusNormal"/>
        <w:jc w:val="center"/>
        <w:rPr>
          <w:b/>
          <w:bCs/>
        </w:rPr>
      </w:pPr>
      <w:r w:rsidRPr="002C5844">
        <w:rPr>
          <w:b/>
          <w:bCs/>
          <w:color w:val="000000"/>
        </w:rPr>
        <w:t>«</w:t>
      </w:r>
      <w:r w:rsidR="009D5009" w:rsidRPr="002C5844">
        <w:rPr>
          <w:b/>
          <w:bCs/>
        </w:rPr>
        <w:t>О присвоении рейтинга эмиссионным ценным бумагам и (или) их эмитенту или об изменении его рейтинговым агентством на основании заключенного с эмитентом договора</w:t>
      </w:r>
      <w:r w:rsidR="00080316" w:rsidRPr="002C5844">
        <w:rPr>
          <w:b/>
          <w:bCs/>
          <w:color w:val="000000"/>
        </w:rPr>
        <w:t>»</w:t>
      </w:r>
    </w:p>
    <w:tbl>
      <w:tblPr>
        <w:tblW w:w="101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5"/>
        <w:gridCol w:w="423"/>
        <w:gridCol w:w="272"/>
        <w:gridCol w:w="1227"/>
        <w:gridCol w:w="395"/>
        <w:gridCol w:w="305"/>
        <w:gridCol w:w="622"/>
        <w:gridCol w:w="513"/>
        <w:gridCol w:w="2381"/>
        <w:gridCol w:w="193"/>
        <w:gridCol w:w="2055"/>
        <w:gridCol w:w="74"/>
      </w:tblGrid>
      <w:tr w:rsidR="00D36ECD" w:rsidRPr="002C5844" w:rsidTr="00C66910">
        <w:trPr>
          <w:gridAfter w:val="1"/>
          <w:wAfter w:w="76" w:type="dxa"/>
        </w:trPr>
        <w:tc>
          <w:tcPr>
            <w:tcW w:w="10069" w:type="dxa"/>
            <w:gridSpan w:val="11"/>
          </w:tcPr>
          <w:p w:rsidR="00D36ECD" w:rsidRPr="002C5844" w:rsidRDefault="00D36ECD">
            <w:pPr>
              <w:pStyle w:val="prilozhenie"/>
              <w:ind w:firstLine="0"/>
              <w:jc w:val="center"/>
            </w:pPr>
            <w:r w:rsidRPr="002C5844">
              <w:t>1. Общие сведения</w:t>
            </w:r>
          </w:p>
        </w:tc>
      </w:tr>
      <w:tr w:rsidR="001A2371" w:rsidRPr="002C5844" w:rsidTr="00C66910">
        <w:trPr>
          <w:gridAfter w:val="1"/>
          <w:wAfter w:w="76" w:type="dxa"/>
        </w:trPr>
        <w:tc>
          <w:tcPr>
            <w:tcW w:w="5435" w:type="dxa"/>
            <w:gridSpan w:val="7"/>
          </w:tcPr>
          <w:p w:rsidR="001A2371" w:rsidRPr="002C5844" w:rsidRDefault="001A2371">
            <w:pPr>
              <w:ind w:left="57" w:right="57"/>
              <w:jc w:val="both"/>
              <w:rPr>
                <w:lang w:val="en-US"/>
              </w:rPr>
            </w:pPr>
            <w:r w:rsidRPr="002C5844">
              <w:t>1.1. Полное фирменное наименование эмитента</w:t>
            </w:r>
          </w:p>
        </w:tc>
        <w:tc>
          <w:tcPr>
            <w:tcW w:w="4634" w:type="dxa"/>
            <w:gridSpan w:val="4"/>
          </w:tcPr>
          <w:p w:rsidR="001A2371" w:rsidRPr="002C5844" w:rsidRDefault="001A2371" w:rsidP="00E70467">
            <w:pPr>
              <w:ind w:left="57"/>
              <w:rPr>
                <w:b/>
                <w:bCs/>
                <w:i/>
                <w:iCs/>
              </w:rPr>
            </w:pPr>
            <w:r w:rsidRPr="002C5844">
              <w:rPr>
                <w:b/>
                <w:bCs/>
                <w:i/>
                <w:iCs/>
              </w:rPr>
              <w:t>Публичное акционерное общество</w:t>
            </w:r>
          </w:p>
          <w:p w:rsidR="001A2371" w:rsidRPr="002C5844" w:rsidRDefault="001A2371" w:rsidP="00E70467">
            <w:pPr>
              <w:ind w:left="57"/>
              <w:rPr>
                <w:b/>
                <w:bCs/>
                <w:i/>
                <w:iCs/>
              </w:rPr>
            </w:pPr>
            <w:r w:rsidRPr="002C5844">
              <w:rPr>
                <w:b/>
                <w:bCs/>
                <w:i/>
                <w:iCs/>
              </w:rPr>
              <w:t xml:space="preserve"> «ТрансКонтейнер»</w:t>
            </w:r>
          </w:p>
        </w:tc>
      </w:tr>
      <w:tr w:rsidR="001A2371" w:rsidRPr="002C5844" w:rsidTr="00C66910">
        <w:trPr>
          <w:gridAfter w:val="1"/>
          <w:wAfter w:w="76" w:type="dxa"/>
        </w:trPr>
        <w:tc>
          <w:tcPr>
            <w:tcW w:w="5435" w:type="dxa"/>
            <w:gridSpan w:val="7"/>
          </w:tcPr>
          <w:p w:rsidR="001A2371" w:rsidRPr="002C5844" w:rsidRDefault="001A2371">
            <w:pPr>
              <w:ind w:left="57" w:right="57"/>
              <w:jc w:val="both"/>
            </w:pPr>
            <w:r w:rsidRPr="002C5844">
              <w:t>1.2. Сокращенное фирменное наименование эмитента</w:t>
            </w:r>
          </w:p>
        </w:tc>
        <w:tc>
          <w:tcPr>
            <w:tcW w:w="4634" w:type="dxa"/>
            <w:gridSpan w:val="4"/>
          </w:tcPr>
          <w:p w:rsidR="001A2371" w:rsidRPr="002C5844" w:rsidRDefault="001A2371" w:rsidP="00E70467">
            <w:pPr>
              <w:ind w:left="57"/>
              <w:rPr>
                <w:b/>
                <w:bCs/>
                <w:i/>
                <w:iCs/>
              </w:rPr>
            </w:pPr>
            <w:r w:rsidRPr="002C5844">
              <w:rPr>
                <w:b/>
                <w:bCs/>
                <w:i/>
                <w:iCs/>
              </w:rPr>
              <w:t>ПАО «ТрансКонтейнер»</w:t>
            </w:r>
          </w:p>
        </w:tc>
      </w:tr>
      <w:tr w:rsidR="00745E38" w:rsidRPr="002C5844" w:rsidTr="00C66910">
        <w:trPr>
          <w:gridAfter w:val="1"/>
          <w:wAfter w:w="76" w:type="dxa"/>
        </w:trPr>
        <w:tc>
          <w:tcPr>
            <w:tcW w:w="5435" w:type="dxa"/>
            <w:gridSpan w:val="7"/>
          </w:tcPr>
          <w:p w:rsidR="00745E38" w:rsidRPr="002C5844" w:rsidRDefault="00745E38">
            <w:pPr>
              <w:ind w:left="57" w:right="57"/>
              <w:jc w:val="both"/>
            </w:pPr>
            <w:r w:rsidRPr="002C5844">
              <w:t>1.3. Место нахождения эмитента</w:t>
            </w:r>
          </w:p>
        </w:tc>
        <w:tc>
          <w:tcPr>
            <w:tcW w:w="4634" w:type="dxa"/>
            <w:gridSpan w:val="4"/>
          </w:tcPr>
          <w:p w:rsidR="00745E38" w:rsidRPr="002C5844" w:rsidRDefault="00B856BB" w:rsidP="00745E38">
            <w:pPr>
              <w:ind w:left="57"/>
              <w:rPr>
                <w:b/>
                <w:bCs/>
                <w:i/>
                <w:iCs/>
              </w:rPr>
            </w:pPr>
            <w:r w:rsidRPr="00252ECE">
              <w:rPr>
                <w:b/>
                <w:i/>
              </w:rPr>
              <w:t xml:space="preserve">141402, Московская обл., </w:t>
            </w:r>
            <w:proofErr w:type="spellStart"/>
            <w:r w:rsidRPr="00252ECE">
              <w:rPr>
                <w:b/>
                <w:i/>
              </w:rPr>
              <w:t>г.о</w:t>
            </w:r>
            <w:proofErr w:type="spellEnd"/>
            <w:r w:rsidRPr="00252ECE">
              <w:rPr>
                <w:b/>
                <w:i/>
              </w:rPr>
              <w:t xml:space="preserve">. Химки, г. Химки, ул. Ленинградская, </w:t>
            </w:r>
            <w:proofErr w:type="spellStart"/>
            <w:r w:rsidRPr="00252ECE">
              <w:rPr>
                <w:b/>
                <w:i/>
              </w:rPr>
              <w:t>влд</w:t>
            </w:r>
            <w:proofErr w:type="spellEnd"/>
            <w:r w:rsidRPr="00252ECE">
              <w:rPr>
                <w:b/>
                <w:i/>
              </w:rPr>
              <w:t>. 39, стр. 6, офис 3 (ЭТАЖ 6)</w:t>
            </w:r>
          </w:p>
        </w:tc>
      </w:tr>
      <w:tr w:rsidR="001A2371" w:rsidRPr="002C5844" w:rsidTr="00C66910">
        <w:trPr>
          <w:gridAfter w:val="1"/>
          <w:wAfter w:w="76" w:type="dxa"/>
        </w:trPr>
        <w:tc>
          <w:tcPr>
            <w:tcW w:w="5435" w:type="dxa"/>
            <w:gridSpan w:val="7"/>
          </w:tcPr>
          <w:p w:rsidR="001A2371" w:rsidRPr="002C5844" w:rsidRDefault="001A2371">
            <w:pPr>
              <w:ind w:left="57" w:right="57"/>
              <w:jc w:val="both"/>
            </w:pPr>
            <w:r w:rsidRPr="002C5844">
              <w:t>1.4. ОГРН эмитента</w:t>
            </w:r>
          </w:p>
        </w:tc>
        <w:tc>
          <w:tcPr>
            <w:tcW w:w="4634" w:type="dxa"/>
            <w:gridSpan w:val="4"/>
          </w:tcPr>
          <w:p w:rsidR="001A2371" w:rsidRPr="002C5844" w:rsidRDefault="001A2371" w:rsidP="00E70467">
            <w:pPr>
              <w:ind w:left="57"/>
              <w:rPr>
                <w:b/>
                <w:bCs/>
                <w:i/>
                <w:iCs/>
              </w:rPr>
            </w:pPr>
            <w:r w:rsidRPr="002C5844">
              <w:rPr>
                <w:b/>
                <w:bCs/>
                <w:i/>
                <w:iCs/>
              </w:rPr>
              <w:t>1067746341024</w:t>
            </w:r>
          </w:p>
        </w:tc>
      </w:tr>
      <w:tr w:rsidR="001A2371" w:rsidRPr="002C5844" w:rsidTr="00C66910">
        <w:trPr>
          <w:gridAfter w:val="1"/>
          <w:wAfter w:w="76" w:type="dxa"/>
        </w:trPr>
        <w:tc>
          <w:tcPr>
            <w:tcW w:w="5435" w:type="dxa"/>
            <w:gridSpan w:val="7"/>
          </w:tcPr>
          <w:p w:rsidR="001A2371" w:rsidRPr="002C5844" w:rsidRDefault="001A2371">
            <w:pPr>
              <w:ind w:left="57" w:right="57"/>
              <w:jc w:val="both"/>
            </w:pPr>
            <w:r w:rsidRPr="002C5844">
              <w:t>1.5. ИНН эмитента</w:t>
            </w:r>
          </w:p>
        </w:tc>
        <w:tc>
          <w:tcPr>
            <w:tcW w:w="4634" w:type="dxa"/>
            <w:gridSpan w:val="4"/>
          </w:tcPr>
          <w:p w:rsidR="001A2371" w:rsidRPr="002C5844" w:rsidRDefault="001A2371" w:rsidP="00E70467">
            <w:pPr>
              <w:ind w:left="57"/>
              <w:rPr>
                <w:b/>
                <w:bCs/>
                <w:i/>
                <w:iCs/>
              </w:rPr>
            </w:pPr>
            <w:r w:rsidRPr="002C5844">
              <w:rPr>
                <w:b/>
                <w:bCs/>
                <w:i/>
                <w:iCs/>
              </w:rPr>
              <w:t>7708591995</w:t>
            </w:r>
          </w:p>
        </w:tc>
      </w:tr>
      <w:tr w:rsidR="001A2371" w:rsidRPr="002C5844" w:rsidTr="00C66910">
        <w:trPr>
          <w:gridAfter w:val="1"/>
          <w:wAfter w:w="76" w:type="dxa"/>
        </w:trPr>
        <w:tc>
          <w:tcPr>
            <w:tcW w:w="5435" w:type="dxa"/>
            <w:gridSpan w:val="7"/>
          </w:tcPr>
          <w:p w:rsidR="001A2371" w:rsidRPr="002C5844" w:rsidRDefault="001A2371">
            <w:pPr>
              <w:ind w:left="57" w:right="57"/>
              <w:jc w:val="both"/>
            </w:pPr>
            <w:r w:rsidRPr="002C5844">
              <w:t>1.6.</w:t>
            </w:r>
            <w:r w:rsidRPr="002C5844">
              <w:rPr>
                <w:lang w:val="en-US"/>
              </w:rPr>
              <w:t> </w:t>
            </w:r>
            <w:r w:rsidRPr="002C5844">
              <w:t>Уникальный код эмитента, присвоенный регистрирующим органом</w:t>
            </w:r>
          </w:p>
        </w:tc>
        <w:tc>
          <w:tcPr>
            <w:tcW w:w="4634" w:type="dxa"/>
            <w:gridSpan w:val="4"/>
          </w:tcPr>
          <w:p w:rsidR="001A2371" w:rsidRPr="002C5844" w:rsidRDefault="001A2371" w:rsidP="00E70467">
            <w:pPr>
              <w:ind w:left="57"/>
            </w:pPr>
            <w:r w:rsidRPr="002C5844">
              <w:rPr>
                <w:b/>
                <w:bCs/>
                <w:i/>
                <w:iCs/>
              </w:rPr>
              <w:t>55194-Е</w:t>
            </w:r>
          </w:p>
        </w:tc>
      </w:tr>
      <w:tr w:rsidR="001A2371" w:rsidRPr="002C5844" w:rsidTr="00C66910">
        <w:trPr>
          <w:gridAfter w:val="1"/>
          <w:wAfter w:w="76" w:type="dxa"/>
        </w:trPr>
        <w:tc>
          <w:tcPr>
            <w:tcW w:w="5435" w:type="dxa"/>
            <w:gridSpan w:val="7"/>
          </w:tcPr>
          <w:p w:rsidR="001A2371" w:rsidRPr="002C5844" w:rsidRDefault="001A2371">
            <w:pPr>
              <w:ind w:left="57" w:right="57"/>
            </w:pPr>
            <w:r w:rsidRPr="002C5844">
              <w:t>1.7.</w:t>
            </w:r>
            <w:r w:rsidRPr="002C5844">
              <w:rPr>
                <w:lang w:val="en-US"/>
              </w:rPr>
              <w:t> </w:t>
            </w:r>
            <w:r w:rsidRPr="002C5844">
              <w:t>Адрес страницы в сети Интернет, используемой эмитентом для раскрытия информации</w:t>
            </w:r>
          </w:p>
        </w:tc>
        <w:tc>
          <w:tcPr>
            <w:tcW w:w="4634" w:type="dxa"/>
            <w:gridSpan w:val="4"/>
          </w:tcPr>
          <w:p w:rsidR="001A2371" w:rsidRDefault="00E61439" w:rsidP="00FF6343">
            <w:pPr>
              <w:ind w:left="57"/>
              <w:rPr>
                <w:rStyle w:val="a5"/>
                <w:b/>
                <w:i/>
              </w:rPr>
            </w:pPr>
            <w:hyperlink r:id="rId8" w:history="1">
              <w:r w:rsidR="00FF6343" w:rsidRPr="002C5844">
                <w:rPr>
                  <w:rStyle w:val="a5"/>
                  <w:b/>
                  <w:i/>
                </w:rPr>
                <w:t>http://www.e-disclosure.ru/portal/company.aspx?id=11194</w:t>
              </w:r>
            </w:hyperlink>
          </w:p>
          <w:p w:rsidR="00D169B0" w:rsidRPr="002C5844" w:rsidRDefault="00E61439" w:rsidP="00FF6343">
            <w:pPr>
              <w:ind w:left="57"/>
            </w:pPr>
            <w:hyperlink r:id="rId9" w:history="1">
              <w:r w:rsidR="00D169B0" w:rsidRPr="00831330">
                <w:rPr>
                  <w:rStyle w:val="a5"/>
                  <w:b/>
                  <w:bCs/>
                  <w:i/>
                  <w:iCs/>
                  <w:sz w:val="22"/>
                  <w:szCs w:val="22"/>
                </w:rPr>
                <w:t>http://www.trcont.com</w:t>
              </w:r>
            </w:hyperlink>
          </w:p>
        </w:tc>
      </w:tr>
      <w:tr w:rsidR="00FF6343" w:rsidRPr="002C5844" w:rsidTr="00C66910">
        <w:tblPrEx>
          <w:tblLook w:val="0000" w:firstRow="0" w:lastRow="0" w:firstColumn="0" w:lastColumn="0" w:noHBand="0" w:noVBand="0"/>
        </w:tblPrEx>
        <w:trPr>
          <w:gridAfter w:val="1"/>
          <w:wAfter w:w="76" w:type="dxa"/>
        </w:trPr>
        <w:tc>
          <w:tcPr>
            <w:tcW w:w="5435" w:type="dxa"/>
            <w:gridSpan w:val="7"/>
          </w:tcPr>
          <w:p w:rsidR="00FF6343" w:rsidRPr="002C5844" w:rsidRDefault="00FF6343" w:rsidP="00A65D2C">
            <w:pPr>
              <w:ind w:right="57"/>
            </w:pPr>
            <w:r w:rsidRPr="002C5844">
              <w:t>1.8. Дата наступления события (существенного факта), о котором составлено сообщение (если применимо)</w:t>
            </w:r>
          </w:p>
        </w:tc>
        <w:tc>
          <w:tcPr>
            <w:tcW w:w="4634" w:type="dxa"/>
            <w:gridSpan w:val="4"/>
          </w:tcPr>
          <w:p w:rsidR="00FF6343" w:rsidRPr="00B856BB" w:rsidRDefault="000E24EC" w:rsidP="00A65D2C">
            <w:pPr>
              <w:rPr>
                <w:b/>
                <w:bCs/>
                <w:i/>
                <w:iCs/>
                <w:highlight w:val="yellow"/>
              </w:rPr>
            </w:pPr>
            <w:r>
              <w:rPr>
                <w:b/>
                <w:bCs/>
                <w:i/>
                <w:iCs/>
              </w:rPr>
              <w:t>18.11</w:t>
            </w:r>
            <w:r w:rsidR="00C946C9" w:rsidRPr="00BD61F6">
              <w:rPr>
                <w:b/>
                <w:bCs/>
                <w:i/>
                <w:iCs/>
              </w:rPr>
              <w:t>.2025</w:t>
            </w:r>
          </w:p>
        </w:tc>
      </w:tr>
      <w:tr w:rsidR="00D36ECD" w:rsidRPr="002C5844" w:rsidTr="00C66910">
        <w:trPr>
          <w:gridAfter w:val="1"/>
          <w:wAfter w:w="76" w:type="dxa"/>
        </w:trPr>
        <w:tc>
          <w:tcPr>
            <w:tcW w:w="10069" w:type="dxa"/>
            <w:gridSpan w:val="11"/>
          </w:tcPr>
          <w:p w:rsidR="00D36ECD" w:rsidRPr="002C5844" w:rsidRDefault="00D36ECD">
            <w:pPr>
              <w:pStyle w:val="prilozhenie"/>
              <w:ind w:firstLine="0"/>
              <w:jc w:val="center"/>
            </w:pPr>
            <w:r w:rsidRPr="002C5844">
              <w:t>2. Содержание сообщения</w:t>
            </w:r>
          </w:p>
        </w:tc>
      </w:tr>
      <w:tr w:rsidR="009A564B" w:rsidRPr="002C5844" w:rsidTr="00C66910">
        <w:trPr>
          <w:gridAfter w:val="1"/>
          <w:wAfter w:w="76" w:type="dxa"/>
          <w:trHeight w:val="983"/>
        </w:trPr>
        <w:tc>
          <w:tcPr>
            <w:tcW w:w="10069" w:type="dxa"/>
            <w:gridSpan w:val="11"/>
          </w:tcPr>
          <w:p w:rsidR="000E24EC" w:rsidRDefault="000E24EC" w:rsidP="000E24EC">
            <w:pPr>
              <w:autoSpaceDE w:val="0"/>
              <w:autoSpaceDN w:val="0"/>
              <w:adjustRightInd w:val="0"/>
              <w:jc w:val="center"/>
              <w:rPr>
                <w:rFonts w:eastAsiaTheme="minorHAnsi"/>
                <w:b/>
                <w:bCs/>
                <w:i/>
                <w:iCs/>
                <w:lang w:eastAsia="en-US"/>
              </w:rPr>
            </w:pPr>
            <w:bookmarkStart w:id="0" w:name="_GoBack"/>
            <w:r>
              <w:rPr>
                <w:rFonts w:eastAsiaTheme="minorHAnsi"/>
                <w:b/>
                <w:bCs/>
                <w:i/>
                <w:iCs/>
                <w:lang w:eastAsia="en-US"/>
              </w:rPr>
              <w:t>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rsidR="00CE0B56" w:rsidRPr="00B63F33" w:rsidRDefault="00CE0B56" w:rsidP="00E70467">
            <w:pPr>
              <w:jc w:val="both"/>
            </w:pPr>
          </w:p>
          <w:p w:rsidR="00B616F8" w:rsidRPr="00B63F33" w:rsidRDefault="00B616F8" w:rsidP="00E70467">
            <w:pPr>
              <w:jc w:val="both"/>
              <w:rPr>
                <w:b/>
                <w:i/>
              </w:rPr>
            </w:pPr>
            <w:r w:rsidRPr="00B63F33">
              <w:t xml:space="preserve">2.1. </w:t>
            </w:r>
            <w:r w:rsidR="009D5009" w:rsidRPr="00B63F33">
              <w:t>Объект рейтинга (ценные бумаги и (или) их эмитент)</w:t>
            </w:r>
            <w:r w:rsidRPr="00B63F33">
              <w:t xml:space="preserve">: </w:t>
            </w:r>
            <w:r w:rsidR="000E24EC">
              <w:rPr>
                <w:rFonts w:eastAsiaTheme="minorHAnsi"/>
                <w:b/>
                <w:bCs/>
                <w:i/>
                <w:iCs/>
                <w:lang w:eastAsia="en-US"/>
              </w:rPr>
              <w:t>ценные бумаги;</w:t>
            </w:r>
          </w:p>
          <w:p w:rsidR="00E15CA7" w:rsidRPr="00B63F33" w:rsidRDefault="00E15CA7" w:rsidP="00E70467">
            <w:pPr>
              <w:jc w:val="both"/>
            </w:pPr>
          </w:p>
          <w:p w:rsidR="00487640" w:rsidRPr="00B63F33" w:rsidRDefault="009A564B" w:rsidP="00E70467">
            <w:pPr>
              <w:jc w:val="both"/>
              <w:rPr>
                <w:b/>
                <w:i/>
              </w:rPr>
            </w:pPr>
            <w:r w:rsidRPr="00B63F33">
              <w:t xml:space="preserve">2.2. </w:t>
            </w:r>
            <w:r w:rsidR="009D5009" w:rsidRPr="00B63F33">
              <w:t>Вид рейтинга, который присвоен объекту рейтинговой оценки (кредитный рейтинг; иной рейтинг)</w:t>
            </w:r>
            <w:r w:rsidRPr="00B63F33">
              <w:t xml:space="preserve">: </w:t>
            </w:r>
            <w:r w:rsidR="00405549" w:rsidRPr="00405549">
              <w:rPr>
                <w:b/>
                <w:i/>
              </w:rPr>
              <w:t>кредитный рейтинг</w:t>
            </w:r>
            <w:r w:rsidR="00405549">
              <w:rPr>
                <w:b/>
                <w:i/>
              </w:rPr>
              <w:t>;</w:t>
            </w:r>
          </w:p>
          <w:p w:rsidR="00E15CA7" w:rsidRPr="00B63F33" w:rsidRDefault="00E15CA7" w:rsidP="00E70467">
            <w:pPr>
              <w:jc w:val="both"/>
              <w:rPr>
                <w:b/>
                <w:i/>
              </w:rPr>
            </w:pPr>
          </w:p>
          <w:p w:rsidR="000E24EC" w:rsidRDefault="00B856BB" w:rsidP="000E24EC">
            <w:pPr>
              <w:adjustRightInd w:val="0"/>
              <w:jc w:val="both"/>
              <w:rPr>
                <w:b/>
                <w:i/>
                <w:sz w:val="22"/>
                <w:szCs w:val="22"/>
              </w:rPr>
            </w:pPr>
            <w:r w:rsidRPr="00B63F33">
              <w:t xml:space="preserve">2.3. </w:t>
            </w:r>
            <w:r w:rsidR="00B63F33" w:rsidRPr="00B63F33">
              <w:t xml:space="preserve">В случае если объектом рейтинга являются ценные бумаги эмитента - идентификационные признаки ценных </w:t>
            </w:r>
            <w:r w:rsidR="00B63F33" w:rsidRPr="00C66B7C">
              <w:t>бумаг</w:t>
            </w:r>
            <w:r w:rsidR="00C66910">
              <w:t xml:space="preserve">: </w:t>
            </w:r>
            <w:r w:rsidR="00CC5324">
              <w:rPr>
                <w:b/>
                <w:i/>
                <w:sz w:val="22"/>
                <w:szCs w:val="22"/>
              </w:rPr>
              <w:t>биржевые облигации неконвертируемые процентные бездокументарные серии П02-02 ПАО «</w:t>
            </w:r>
            <w:proofErr w:type="spellStart"/>
            <w:r w:rsidR="00CC5324">
              <w:rPr>
                <w:b/>
                <w:i/>
                <w:sz w:val="22"/>
                <w:szCs w:val="22"/>
              </w:rPr>
              <w:t>ТрансКонтейнер</w:t>
            </w:r>
            <w:proofErr w:type="spellEnd"/>
            <w:r w:rsidR="00CC5324">
              <w:rPr>
                <w:b/>
                <w:i/>
                <w:sz w:val="22"/>
                <w:szCs w:val="22"/>
              </w:rPr>
              <w:t>», размещаемые в рамках Программы биржевых облигаций, имеющей регистрационный номер 4-55194-E-002P-02E от 07.02.2023, регистрационный номер выпуска ценных бумаг и дата его регистрации: 4B02-02-55194-E-002P от 11.11.2025 (далее – Биржевые облигации), международный код (номер) идентификации ценных бумаг (ISIN) -</w:t>
            </w:r>
            <w:r w:rsidR="00CC5324">
              <w:rPr>
                <w:rFonts w:ascii="Arial" w:hAnsi="Arial" w:cs="Arial"/>
                <w:color w:val="2C2D2E"/>
                <w:sz w:val="23"/>
                <w:szCs w:val="23"/>
                <w:shd w:val="clear" w:color="auto" w:fill="FFFFFF"/>
              </w:rPr>
              <w:t xml:space="preserve"> </w:t>
            </w:r>
            <w:r w:rsidR="00CC5324">
              <w:rPr>
                <w:b/>
                <w:i/>
                <w:sz w:val="22"/>
                <w:szCs w:val="22"/>
              </w:rPr>
              <w:t xml:space="preserve">RU000A10DG86, международный код классификации финансовых инструментов (CFI) - </w:t>
            </w:r>
            <w:r w:rsidR="00CC5324">
              <w:rPr>
                <w:rFonts w:eastAsiaTheme="minorEastAsia"/>
                <w:b/>
                <w:i/>
                <w:sz w:val="22"/>
                <w:szCs w:val="22"/>
              </w:rPr>
              <w:t>DBVUFB</w:t>
            </w:r>
            <w:r w:rsidR="00CC5324">
              <w:rPr>
                <w:b/>
                <w:i/>
                <w:sz w:val="22"/>
                <w:szCs w:val="22"/>
              </w:rPr>
              <w:t>.</w:t>
            </w:r>
          </w:p>
          <w:p w:rsidR="00E15CA7" w:rsidRPr="00C66B7C" w:rsidRDefault="00E15CA7" w:rsidP="00E70467">
            <w:pPr>
              <w:jc w:val="both"/>
              <w:rPr>
                <w:b/>
                <w:i/>
              </w:rPr>
            </w:pPr>
          </w:p>
          <w:p w:rsidR="00E15CA7" w:rsidRDefault="009A564B" w:rsidP="00E70467">
            <w:pPr>
              <w:jc w:val="both"/>
              <w:rPr>
                <w:b/>
                <w:i/>
              </w:rPr>
            </w:pPr>
            <w:r w:rsidRPr="00C66B7C">
              <w:t>2.</w:t>
            </w:r>
            <w:r w:rsidR="00E61439">
              <w:t>4</w:t>
            </w:r>
            <w:r w:rsidRPr="00C66B7C">
              <w:t xml:space="preserve">. </w:t>
            </w:r>
            <w:r w:rsidR="009D5009" w:rsidRPr="00C66B7C">
              <w:t>Значение присвоенного рейтинга, а в случае изменения рейтинга</w:t>
            </w:r>
            <w:r w:rsidR="00E15CA7" w:rsidRPr="00C66B7C">
              <w:t xml:space="preserve"> – значения рейтинга до и после изменения:</w:t>
            </w:r>
            <w:r w:rsidR="009D5009" w:rsidRPr="00C66B7C">
              <w:t xml:space="preserve"> </w:t>
            </w:r>
            <w:r w:rsidR="00C66910">
              <w:t>з</w:t>
            </w:r>
            <w:r w:rsidR="00C66910" w:rsidRPr="00C66910">
              <w:rPr>
                <w:b/>
                <w:i/>
              </w:rPr>
              <w:t xml:space="preserve">начение </w:t>
            </w:r>
            <w:r w:rsidR="00C66910" w:rsidRPr="00722159">
              <w:rPr>
                <w:b/>
                <w:i/>
              </w:rPr>
              <w:t xml:space="preserve">присвоенного </w:t>
            </w:r>
            <w:r w:rsidR="00722159" w:rsidRPr="00722159">
              <w:rPr>
                <w:b/>
                <w:i/>
              </w:rPr>
              <w:t xml:space="preserve">кредитного </w:t>
            </w:r>
            <w:r w:rsidR="00C66910" w:rsidRPr="00722159">
              <w:rPr>
                <w:b/>
                <w:i/>
              </w:rPr>
              <w:t>рейтинга:</w:t>
            </w:r>
            <w:r w:rsidR="00C66910" w:rsidRPr="00722159">
              <w:t xml:space="preserve"> </w:t>
            </w:r>
            <w:proofErr w:type="spellStart"/>
            <w:r w:rsidR="00722159" w:rsidRPr="00722159">
              <w:rPr>
                <w:b/>
                <w:i/>
              </w:rPr>
              <w:t>ruAA</w:t>
            </w:r>
            <w:proofErr w:type="spellEnd"/>
            <w:r w:rsidR="00722159" w:rsidRPr="00722159">
              <w:rPr>
                <w:b/>
                <w:i/>
              </w:rPr>
              <w:t>-</w:t>
            </w:r>
            <w:r w:rsidR="00E15CA7" w:rsidRPr="00722159">
              <w:rPr>
                <w:b/>
                <w:i/>
              </w:rPr>
              <w:t>,</w:t>
            </w:r>
            <w:r w:rsidR="00E15CA7" w:rsidRPr="00C66B7C">
              <w:rPr>
                <w:b/>
                <w:i/>
              </w:rPr>
              <w:t xml:space="preserve"> прогноз «стабильный»;</w:t>
            </w:r>
          </w:p>
          <w:p w:rsidR="00C66910" w:rsidRPr="00C66B7C" w:rsidRDefault="00C66910" w:rsidP="00E70467">
            <w:pPr>
              <w:jc w:val="both"/>
              <w:rPr>
                <w:b/>
                <w:i/>
              </w:rPr>
            </w:pPr>
          </w:p>
          <w:p w:rsidR="00E70467" w:rsidRPr="00B63F33" w:rsidRDefault="009A564B" w:rsidP="00E70467">
            <w:pPr>
              <w:jc w:val="both"/>
              <w:rPr>
                <w:b/>
                <w:bCs/>
                <w:i/>
                <w:iCs/>
              </w:rPr>
            </w:pPr>
            <w:r w:rsidRPr="00C66B7C">
              <w:t>2.</w:t>
            </w:r>
            <w:r w:rsidR="00E61439">
              <w:t>5</w:t>
            </w:r>
            <w:r w:rsidRPr="00C66B7C">
              <w:t xml:space="preserve">. </w:t>
            </w:r>
            <w:r w:rsidR="009D5009" w:rsidRPr="00C66B7C">
              <w:t>Дата присвоения или изменения рейтинга</w:t>
            </w:r>
            <w:r w:rsidRPr="00C66B7C">
              <w:t xml:space="preserve">: </w:t>
            </w:r>
            <w:r w:rsidRPr="00C66B7C">
              <w:rPr>
                <w:b/>
                <w:i/>
              </w:rPr>
              <w:t xml:space="preserve">дата </w:t>
            </w:r>
            <w:r w:rsidR="00BD61F6" w:rsidRPr="00C66B7C">
              <w:rPr>
                <w:b/>
                <w:i/>
              </w:rPr>
              <w:t>присвоения</w:t>
            </w:r>
            <w:r w:rsidRPr="00C66B7C">
              <w:rPr>
                <w:b/>
                <w:i/>
              </w:rPr>
              <w:t xml:space="preserve"> рейтинга </w:t>
            </w:r>
            <w:r w:rsidR="008B53B2" w:rsidRPr="00C66B7C">
              <w:rPr>
                <w:b/>
                <w:i/>
              </w:rPr>
              <w:t>–</w:t>
            </w:r>
            <w:r w:rsidRPr="00C66B7C">
              <w:rPr>
                <w:b/>
                <w:i/>
              </w:rPr>
              <w:t xml:space="preserve"> </w:t>
            </w:r>
            <w:r w:rsidR="000E24EC">
              <w:rPr>
                <w:b/>
                <w:bCs/>
                <w:i/>
                <w:iCs/>
              </w:rPr>
              <w:t>18</w:t>
            </w:r>
            <w:r w:rsidR="00C946C9" w:rsidRPr="00C66B7C">
              <w:rPr>
                <w:b/>
                <w:bCs/>
                <w:i/>
                <w:iCs/>
              </w:rPr>
              <w:t>.</w:t>
            </w:r>
            <w:r w:rsidR="000E24EC">
              <w:rPr>
                <w:b/>
                <w:bCs/>
                <w:i/>
                <w:iCs/>
              </w:rPr>
              <w:t>11</w:t>
            </w:r>
            <w:r w:rsidR="00C946C9" w:rsidRPr="00C66B7C">
              <w:rPr>
                <w:b/>
                <w:bCs/>
                <w:i/>
                <w:iCs/>
              </w:rPr>
              <w:t>.2025</w:t>
            </w:r>
            <w:r w:rsidR="00C66910">
              <w:rPr>
                <w:b/>
                <w:bCs/>
                <w:i/>
                <w:iCs/>
              </w:rPr>
              <w:t>;</w:t>
            </w:r>
          </w:p>
          <w:p w:rsidR="00E15CA7" w:rsidRPr="00B63F33" w:rsidRDefault="00E15CA7" w:rsidP="00E70467">
            <w:pPr>
              <w:jc w:val="both"/>
            </w:pPr>
          </w:p>
          <w:p w:rsidR="000E24EC" w:rsidRPr="00CF7D60" w:rsidRDefault="009A564B" w:rsidP="000E24EC">
            <w:pPr>
              <w:autoSpaceDE w:val="0"/>
              <w:autoSpaceDN w:val="0"/>
              <w:adjustRightInd w:val="0"/>
              <w:jc w:val="both"/>
              <w:rPr>
                <w:rFonts w:eastAsiaTheme="minorHAnsi"/>
                <w:b/>
                <w:lang w:eastAsia="en-US"/>
              </w:rPr>
            </w:pPr>
            <w:r w:rsidRPr="00B63F33">
              <w:t>2.</w:t>
            </w:r>
            <w:r w:rsidR="00E61439">
              <w:t>6</w:t>
            </w:r>
            <w:r w:rsidRPr="00B63F33">
              <w:t xml:space="preserve">. </w:t>
            </w:r>
            <w:r w:rsidR="00B63F33" w:rsidRPr="00B63F33">
              <w:t>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r w:rsidRPr="00C946C9">
              <w:t>:</w:t>
            </w:r>
            <w:r w:rsidRPr="00C946C9">
              <w:rPr>
                <w:b/>
                <w:i/>
              </w:rPr>
              <w:t xml:space="preserve"> </w:t>
            </w:r>
            <w:r w:rsidR="000E24EC">
              <w:rPr>
                <w:b/>
                <w:i/>
              </w:rPr>
              <w:t xml:space="preserve">информация о методике присвоения рейтингов </w:t>
            </w:r>
            <w:r w:rsidR="000E24EC" w:rsidRPr="00022D7C">
              <w:rPr>
                <w:b/>
                <w:i/>
              </w:rPr>
              <w:t>долговым инструментам</w:t>
            </w:r>
            <w:r w:rsidR="000E24EC">
              <w:rPr>
                <w:b/>
                <w:i/>
              </w:rPr>
              <w:t xml:space="preserve"> агентством Эксперт РА размещена на сайте</w:t>
            </w:r>
            <w:r w:rsidR="000E24EC" w:rsidRPr="00CF7D60">
              <w:rPr>
                <w:b/>
                <w:i/>
              </w:rPr>
              <w:t>: https://raexpert.ru/ratings/methods/current</w:t>
            </w:r>
            <w:r w:rsidR="000E24EC">
              <w:rPr>
                <w:b/>
                <w:i/>
              </w:rPr>
              <w:t>;</w:t>
            </w:r>
          </w:p>
          <w:p w:rsidR="00B63F33" w:rsidRPr="00B63F33" w:rsidRDefault="00B63F33" w:rsidP="00E15CA7">
            <w:pPr>
              <w:jc w:val="both"/>
              <w:rPr>
                <w:b/>
                <w:i/>
              </w:rPr>
            </w:pPr>
          </w:p>
          <w:p w:rsidR="00D258BA" w:rsidRPr="007A4122" w:rsidRDefault="009A564B" w:rsidP="007A4122">
            <w:pPr>
              <w:autoSpaceDE w:val="0"/>
              <w:autoSpaceDN w:val="0"/>
              <w:adjustRightInd w:val="0"/>
              <w:jc w:val="both"/>
              <w:rPr>
                <w:rStyle w:val="Subst"/>
                <w:i w:val="0"/>
                <w:iCs w:val="0"/>
              </w:rPr>
            </w:pPr>
            <w:r w:rsidRPr="00B63F33">
              <w:t>2.</w:t>
            </w:r>
            <w:r w:rsidR="00E61439">
              <w:t>7</w:t>
            </w:r>
            <w:r w:rsidRPr="00B63F33">
              <w:t xml:space="preserve">. </w:t>
            </w:r>
            <w:r w:rsidR="00B63F33" w:rsidRPr="00B63F33">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sidR="007A4122">
              <w:t xml:space="preserve">: </w:t>
            </w:r>
            <w:r w:rsidR="000E24EC" w:rsidRPr="007C20E8">
              <w:rPr>
                <w:rFonts w:eastAsiaTheme="minorHAnsi"/>
                <w:b/>
                <w:i/>
                <w:lang w:eastAsia="en-US"/>
              </w:rPr>
              <w:t>Акционерное общество «Рейтинговое Агентство «Эксперт РА»</w:t>
            </w:r>
            <w:r w:rsidR="00722159">
              <w:rPr>
                <w:rFonts w:eastAsiaTheme="minorHAnsi"/>
                <w:b/>
                <w:i/>
                <w:lang w:eastAsia="en-US"/>
              </w:rPr>
              <w:t>,</w:t>
            </w:r>
            <w:r w:rsidR="000E24EC" w:rsidRPr="007C20E8">
              <w:rPr>
                <w:rFonts w:eastAsiaTheme="minorHAnsi"/>
                <w:b/>
                <w:i/>
                <w:lang w:eastAsia="en-US"/>
              </w:rPr>
              <w:t xml:space="preserve"> </w:t>
            </w:r>
            <w:r w:rsidR="00722159">
              <w:rPr>
                <w:rFonts w:eastAsiaTheme="minorHAnsi"/>
                <w:b/>
                <w:i/>
                <w:lang w:eastAsia="en-US"/>
              </w:rPr>
              <w:t>м</w:t>
            </w:r>
            <w:r w:rsidR="000E24EC" w:rsidRPr="007C20E8">
              <w:rPr>
                <w:rFonts w:eastAsiaTheme="minorHAnsi"/>
                <w:b/>
                <w:i/>
                <w:lang w:eastAsia="en-US"/>
              </w:rPr>
              <w:t xml:space="preserve">есто </w:t>
            </w:r>
            <w:r w:rsidR="000E24EC" w:rsidRPr="007C20E8">
              <w:rPr>
                <w:rFonts w:eastAsiaTheme="minorHAnsi"/>
                <w:b/>
                <w:i/>
                <w:lang w:eastAsia="en-US"/>
              </w:rPr>
              <w:lastRenderedPageBreak/>
              <w:t xml:space="preserve">нахождения: 109240, г. Москва, </w:t>
            </w:r>
            <w:proofErr w:type="spellStart"/>
            <w:r w:rsidR="000E24EC" w:rsidRPr="007C20E8">
              <w:rPr>
                <w:rFonts w:eastAsiaTheme="minorHAnsi"/>
                <w:b/>
                <w:i/>
                <w:lang w:eastAsia="en-US"/>
              </w:rPr>
              <w:t>Николоямская</w:t>
            </w:r>
            <w:proofErr w:type="spellEnd"/>
            <w:r w:rsidR="000E24EC" w:rsidRPr="007C20E8">
              <w:rPr>
                <w:rFonts w:eastAsiaTheme="minorHAnsi"/>
                <w:b/>
                <w:i/>
                <w:lang w:eastAsia="en-US"/>
              </w:rPr>
              <w:t xml:space="preserve"> ул., д. 13, стр. 2, </w:t>
            </w:r>
            <w:proofErr w:type="spellStart"/>
            <w:r w:rsidR="000E24EC" w:rsidRPr="007C20E8">
              <w:rPr>
                <w:rFonts w:eastAsiaTheme="minorHAnsi"/>
                <w:b/>
                <w:i/>
                <w:lang w:eastAsia="en-US"/>
              </w:rPr>
              <w:t>эт</w:t>
            </w:r>
            <w:proofErr w:type="spellEnd"/>
            <w:r w:rsidR="000E24EC" w:rsidRPr="007C20E8">
              <w:rPr>
                <w:rFonts w:eastAsiaTheme="minorHAnsi"/>
                <w:b/>
                <w:i/>
                <w:lang w:eastAsia="en-US"/>
              </w:rPr>
              <w:t>/</w:t>
            </w:r>
            <w:proofErr w:type="spellStart"/>
            <w:r w:rsidR="000E24EC" w:rsidRPr="007C20E8">
              <w:rPr>
                <w:rFonts w:eastAsiaTheme="minorHAnsi"/>
                <w:b/>
                <w:i/>
                <w:lang w:eastAsia="en-US"/>
              </w:rPr>
              <w:t>пом</w:t>
            </w:r>
            <w:proofErr w:type="spellEnd"/>
            <w:r w:rsidR="000E24EC" w:rsidRPr="007C20E8">
              <w:rPr>
                <w:rFonts w:eastAsiaTheme="minorHAnsi"/>
                <w:b/>
                <w:i/>
                <w:lang w:eastAsia="en-US"/>
              </w:rPr>
              <w:t>/ком 7/I/13 ИНН: 7710248947 ОРГН: 1037700071628</w:t>
            </w:r>
            <w:r w:rsidR="007A4122">
              <w:rPr>
                <w:b/>
                <w:i/>
              </w:rPr>
              <w:t>;</w:t>
            </w:r>
          </w:p>
          <w:p w:rsidR="00E15CA7" w:rsidRPr="002C5844" w:rsidRDefault="00E15CA7" w:rsidP="00D258BA">
            <w:pPr>
              <w:jc w:val="both"/>
            </w:pPr>
          </w:p>
          <w:p w:rsidR="00B03280" w:rsidRDefault="00E70467" w:rsidP="001D22FA">
            <w:pPr>
              <w:pStyle w:val="Default"/>
              <w:rPr>
                <w:b/>
                <w:i/>
              </w:rPr>
            </w:pPr>
            <w:r w:rsidRPr="002C5844">
              <w:t>2.</w:t>
            </w:r>
            <w:r w:rsidR="00E61439">
              <w:t>8</w:t>
            </w:r>
            <w:r w:rsidRPr="002C5844">
              <w:t xml:space="preserve">. Иные сведения о рейтинге, указываемые </w:t>
            </w:r>
            <w:r w:rsidR="001D22FA" w:rsidRPr="002C5844">
              <w:t>эмитентом по своему усмотрению</w:t>
            </w:r>
            <w:proofErr w:type="gramStart"/>
            <w:r w:rsidR="001D22FA" w:rsidRPr="002C5844">
              <w:t>:</w:t>
            </w:r>
            <w:proofErr w:type="gramEnd"/>
            <w:r w:rsidR="007A4122">
              <w:t xml:space="preserve"> </w:t>
            </w:r>
            <w:r w:rsidR="001D22FA" w:rsidRPr="002C5844">
              <w:rPr>
                <w:b/>
                <w:i/>
              </w:rPr>
              <w:t>отсутствуют</w:t>
            </w:r>
            <w:r w:rsidR="007A4122">
              <w:rPr>
                <w:b/>
                <w:i/>
              </w:rPr>
              <w:t>;</w:t>
            </w:r>
          </w:p>
          <w:p w:rsidR="00E15CA7" w:rsidRPr="002C5844" w:rsidRDefault="00E15CA7" w:rsidP="001D22FA">
            <w:pPr>
              <w:pStyle w:val="Default"/>
            </w:pPr>
          </w:p>
          <w:p w:rsidR="001D22FA" w:rsidRPr="002C5844" w:rsidRDefault="001D22FA" w:rsidP="00B63F33">
            <w:pPr>
              <w:autoSpaceDE w:val="0"/>
              <w:autoSpaceDN w:val="0"/>
              <w:adjustRightInd w:val="0"/>
              <w:jc w:val="both"/>
            </w:pPr>
            <w:r w:rsidRPr="002C5844">
              <w:t>2.</w:t>
            </w:r>
            <w:r w:rsidR="00E61439">
              <w:t>9</w:t>
            </w:r>
            <w:r w:rsidRPr="002C5844">
              <w:t xml:space="preserve">. </w:t>
            </w:r>
            <w:r w:rsidR="00B63F33">
              <w:t>Дата, когда эмитент узнал или должен был узнать о присвоении рейтинга ценным бумагам эмитента и (или) эмитенту, а также об изменении рейтинга кредитным рейтинговым агентством или иной организацией на основании заключенного с эмитентом договора</w:t>
            </w:r>
            <w:r w:rsidR="00B856BB" w:rsidRPr="00BD61F6">
              <w:t xml:space="preserve">: </w:t>
            </w:r>
            <w:r w:rsidR="000E24EC">
              <w:rPr>
                <w:rStyle w:val="Subst"/>
              </w:rPr>
              <w:t>18</w:t>
            </w:r>
            <w:r w:rsidR="00C946C9" w:rsidRPr="00DE290F">
              <w:rPr>
                <w:rStyle w:val="Subst"/>
              </w:rPr>
              <w:t>.</w:t>
            </w:r>
            <w:r w:rsidR="000E24EC">
              <w:rPr>
                <w:rStyle w:val="Subst"/>
              </w:rPr>
              <w:t>11</w:t>
            </w:r>
            <w:r w:rsidR="00C946C9" w:rsidRPr="00DE290F">
              <w:rPr>
                <w:rStyle w:val="Subst"/>
              </w:rPr>
              <w:t>.2025</w:t>
            </w:r>
            <w:r w:rsidR="007A4122" w:rsidRPr="00DE290F">
              <w:rPr>
                <w:rStyle w:val="Subst"/>
              </w:rPr>
              <w:t>.</w:t>
            </w:r>
            <w:bookmarkEnd w:id="0"/>
          </w:p>
        </w:tc>
      </w:tr>
      <w:tr w:rsidR="00D36ECD" w:rsidRPr="002C5844" w:rsidTr="00C66910">
        <w:tblPrEx>
          <w:tblCellMar>
            <w:left w:w="28" w:type="dxa"/>
            <w:right w:w="28" w:type="dxa"/>
          </w:tblCellMar>
        </w:tblPrEx>
        <w:trPr>
          <w:gridAfter w:val="1"/>
          <w:wAfter w:w="76" w:type="dxa"/>
          <w:cantSplit/>
        </w:trPr>
        <w:tc>
          <w:tcPr>
            <w:tcW w:w="10069" w:type="dxa"/>
            <w:gridSpan w:val="11"/>
          </w:tcPr>
          <w:p w:rsidR="00D36ECD" w:rsidRPr="002C5844" w:rsidRDefault="00D36ECD">
            <w:pPr>
              <w:jc w:val="center"/>
            </w:pPr>
            <w:r w:rsidRPr="002C5844">
              <w:lastRenderedPageBreak/>
              <w:t>3. Подпис</w:t>
            </w:r>
            <w:r w:rsidR="00785514" w:rsidRPr="002C5844">
              <w:t>ь</w:t>
            </w:r>
          </w:p>
        </w:tc>
      </w:tr>
      <w:tr w:rsidR="00960CC6" w:rsidRPr="002C5844" w:rsidTr="00C66910">
        <w:tblPrEx>
          <w:tblCellMar>
            <w:left w:w="28" w:type="dxa"/>
            <w:right w:w="28" w:type="dxa"/>
          </w:tblCellMar>
        </w:tblPrEx>
        <w:trPr>
          <w:cantSplit/>
        </w:trPr>
        <w:tc>
          <w:tcPr>
            <w:tcW w:w="5954" w:type="dxa"/>
            <w:gridSpan w:val="8"/>
            <w:tcBorders>
              <w:bottom w:val="nil"/>
              <w:right w:val="nil"/>
            </w:tcBorders>
            <w:vAlign w:val="bottom"/>
          </w:tcPr>
          <w:p w:rsidR="00DC58C8" w:rsidRPr="002C5844" w:rsidRDefault="00960CC6" w:rsidP="00B63F33">
            <w:pPr>
              <w:jc w:val="both"/>
            </w:pPr>
            <w:r w:rsidRPr="002C5844">
              <w:t>3.1</w:t>
            </w:r>
            <w:r w:rsidR="00B63F33">
              <w:t xml:space="preserve"> </w:t>
            </w:r>
            <w:r w:rsidRPr="002C5844">
              <w:t xml:space="preserve"> </w:t>
            </w:r>
          </w:p>
          <w:p w:rsidR="00960CC6" w:rsidRPr="002C5844" w:rsidRDefault="00960CC6" w:rsidP="00B63F33">
            <w:pPr>
              <w:jc w:val="both"/>
            </w:pPr>
          </w:p>
        </w:tc>
        <w:tc>
          <w:tcPr>
            <w:tcW w:w="1985" w:type="dxa"/>
            <w:gridSpan w:val="2"/>
            <w:tcBorders>
              <w:left w:val="nil"/>
              <w:right w:val="nil"/>
            </w:tcBorders>
            <w:vAlign w:val="bottom"/>
          </w:tcPr>
          <w:p w:rsidR="00960CC6" w:rsidRPr="002C5844" w:rsidRDefault="00960CC6"/>
        </w:tc>
        <w:tc>
          <w:tcPr>
            <w:tcW w:w="2130" w:type="dxa"/>
            <w:tcBorders>
              <w:left w:val="nil"/>
              <w:bottom w:val="nil"/>
              <w:right w:val="nil"/>
            </w:tcBorders>
            <w:vAlign w:val="bottom"/>
          </w:tcPr>
          <w:p w:rsidR="00960CC6" w:rsidRPr="002C5844" w:rsidRDefault="00B63F33" w:rsidP="00E92591">
            <w:pPr>
              <w:jc w:val="center"/>
            </w:pPr>
            <w:r>
              <w:t xml:space="preserve"> </w:t>
            </w:r>
          </w:p>
        </w:tc>
        <w:tc>
          <w:tcPr>
            <w:tcW w:w="76" w:type="dxa"/>
            <w:tcBorders>
              <w:left w:val="nil"/>
              <w:bottom w:val="nil"/>
            </w:tcBorders>
            <w:vAlign w:val="bottom"/>
          </w:tcPr>
          <w:p w:rsidR="00960CC6" w:rsidRPr="002C5844" w:rsidRDefault="00960CC6"/>
        </w:tc>
      </w:tr>
      <w:tr w:rsidR="00D36ECD" w:rsidRPr="002C5844" w:rsidTr="00C66910">
        <w:tblPrEx>
          <w:tblCellMar>
            <w:left w:w="28" w:type="dxa"/>
            <w:right w:w="28" w:type="dxa"/>
          </w:tblCellMar>
        </w:tblPrEx>
        <w:trPr>
          <w:cantSplit/>
        </w:trPr>
        <w:tc>
          <w:tcPr>
            <w:tcW w:w="5954" w:type="dxa"/>
            <w:gridSpan w:val="8"/>
            <w:tcBorders>
              <w:top w:val="nil"/>
              <w:bottom w:val="nil"/>
              <w:right w:val="nil"/>
            </w:tcBorders>
          </w:tcPr>
          <w:p w:rsidR="00D36ECD" w:rsidRPr="002C5844" w:rsidRDefault="00D36ECD">
            <w:pPr>
              <w:ind w:left="57"/>
            </w:pPr>
          </w:p>
        </w:tc>
        <w:tc>
          <w:tcPr>
            <w:tcW w:w="1843" w:type="dxa"/>
            <w:tcBorders>
              <w:top w:val="nil"/>
              <w:left w:val="nil"/>
              <w:bottom w:val="nil"/>
              <w:right w:val="nil"/>
            </w:tcBorders>
          </w:tcPr>
          <w:p w:rsidR="00D36ECD" w:rsidRPr="002C5844" w:rsidRDefault="00D36ECD">
            <w:pPr>
              <w:jc w:val="center"/>
            </w:pPr>
            <w:r w:rsidRPr="002C5844">
              <w:t>(подпись)</w:t>
            </w:r>
          </w:p>
        </w:tc>
        <w:tc>
          <w:tcPr>
            <w:tcW w:w="142" w:type="dxa"/>
            <w:tcBorders>
              <w:top w:val="nil"/>
              <w:left w:val="nil"/>
              <w:bottom w:val="nil"/>
              <w:right w:val="nil"/>
            </w:tcBorders>
          </w:tcPr>
          <w:p w:rsidR="00D36ECD" w:rsidRPr="002C5844" w:rsidRDefault="00D36ECD"/>
        </w:tc>
        <w:tc>
          <w:tcPr>
            <w:tcW w:w="2130" w:type="dxa"/>
            <w:tcBorders>
              <w:top w:val="nil"/>
              <w:left w:val="nil"/>
              <w:bottom w:val="nil"/>
              <w:right w:val="nil"/>
            </w:tcBorders>
          </w:tcPr>
          <w:p w:rsidR="00D36ECD" w:rsidRPr="002C5844" w:rsidRDefault="00D36ECD"/>
        </w:tc>
        <w:tc>
          <w:tcPr>
            <w:tcW w:w="76" w:type="dxa"/>
            <w:tcBorders>
              <w:top w:val="nil"/>
              <w:left w:val="nil"/>
              <w:bottom w:val="nil"/>
            </w:tcBorders>
          </w:tcPr>
          <w:p w:rsidR="00D36ECD" w:rsidRPr="002C5844" w:rsidRDefault="00D36ECD"/>
        </w:tc>
      </w:tr>
      <w:tr w:rsidR="00D36ECD" w:rsidRPr="00A0471B" w:rsidTr="00C66910">
        <w:tblPrEx>
          <w:tblCellMar>
            <w:left w:w="28" w:type="dxa"/>
            <w:right w:w="28" w:type="dxa"/>
          </w:tblCellMar>
        </w:tblPrEx>
        <w:trPr>
          <w:gridAfter w:val="1"/>
          <w:wAfter w:w="76" w:type="dxa"/>
          <w:cantSplit/>
        </w:trPr>
        <w:tc>
          <w:tcPr>
            <w:tcW w:w="1911" w:type="dxa"/>
            <w:tcBorders>
              <w:top w:val="nil"/>
              <w:bottom w:val="nil"/>
              <w:right w:val="nil"/>
            </w:tcBorders>
            <w:vAlign w:val="bottom"/>
          </w:tcPr>
          <w:p w:rsidR="00C66910" w:rsidRDefault="00C66910" w:rsidP="00E70467"/>
          <w:p w:rsidR="00D36ECD" w:rsidRPr="002C5844" w:rsidRDefault="00D36ECD" w:rsidP="00E70467">
            <w:r w:rsidRPr="002C5844">
              <w:t>3.2. Дата “</w:t>
            </w:r>
          </w:p>
        </w:tc>
        <w:tc>
          <w:tcPr>
            <w:tcW w:w="448" w:type="dxa"/>
            <w:tcBorders>
              <w:top w:val="nil"/>
              <w:left w:val="nil"/>
              <w:right w:val="nil"/>
            </w:tcBorders>
            <w:vAlign w:val="bottom"/>
          </w:tcPr>
          <w:p w:rsidR="00D36ECD" w:rsidRPr="00C66B7C" w:rsidRDefault="000E24EC" w:rsidP="002C5844">
            <w:pPr>
              <w:jc w:val="center"/>
              <w:rPr>
                <w:color w:val="000000"/>
              </w:rPr>
            </w:pPr>
            <w:r>
              <w:rPr>
                <w:color w:val="000000"/>
              </w:rPr>
              <w:t>18</w:t>
            </w:r>
          </w:p>
        </w:tc>
        <w:tc>
          <w:tcPr>
            <w:tcW w:w="293" w:type="dxa"/>
            <w:tcBorders>
              <w:top w:val="nil"/>
              <w:left w:val="nil"/>
              <w:bottom w:val="nil"/>
              <w:right w:val="nil"/>
            </w:tcBorders>
            <w:vAlign w:val="bottom"/>
          </w:tcPr>
          <w:p w:rsidR="00D36ECD" w:rsidRPr="00C66B7C" w:rsidRDefault="00D36ECD">
            <w:pPr>
              <w:rPr>
                <w:color w:val="000000"/>
              </w:rPr>
            </w:pPr>
            <w:r w:rsidRPr="00C66B7C">
              <w:rPr>
                <w:color w:val="000000"/>
              </w:rPr>
              <w:t>”</w:t>
            </w:r>
          </w:p>
        </w:tc>
        <w:tc>
          <w:tcPr>
            <w:tcW w:w="1318" w:type="dxa"/>
            <w:tcBorders>
              <w:top w:val="nil"/>
              <w:left w:val="nil"/>
              <w:right w:val="nil"/>
            </w:tcBorders>
            <w:vAlign w:val="bottom"/>
          </w:tcPr>
          <w:p w:rsidR="00D36ECD" w:rsidRPr="002C5844" w:rsidRDefault="000E24EC" w:rsidP="00297919">
            <w:pPr>
              <w:jc w:val="center"/>
            </w:pPr>
            <w:r>
              <w:t>ноября</w:t>
            </w:r>
          </w:p>
        </w:tc>
        <w:tc>
          <w:tcPr>
            <w:tcW w:w="415" w:type="dxa"/>
            <w:tcBorders>
              <w:top w:val="nil"/>
              <w:left w:val="nil"/>
              <w:bottom w:val="nil"/>
              <w:right w:val="nil"/>
            </w:tcBorders>
            <w:vAlign w:val="bottom"/>
          </w:tcPr>
          <w:p w:rsidR="00D36ECD" w:rsidRPr="002C5844" w:rsidRDefault="00D36ECD">
            <w:pPr>
              <w:jc w:val="right"/>
            </w:pPr>
            <w:r w:rsidRPr="002C5844">
              <w:t>20</w:t>
            </w:r>
          </w:p>
        </w:tc>
        <w:tc>
          <w:tcPr>
            <w:tcW w:w="307" w:type="dxa"/>
            <w:tcBorders>
              <w:top w:val="nil"/>
              <w:left w:val="nil"/>
              <w:right w:val="nil"/>
            </w:tcBorders>
            <w:vAlign w:val="bottom"/>
          </w:tcPr>
          <w:p w:rsidR="00D36ECD" w:rsidRPr="002C5844" w:rsidRDefault="00C946C9" w:rsidP="00745E38">
            <w:r>
              <w:t>25</w:t>
            </w:r>
          </w:p>
        </w:tc>
        <w:tc>
          <w:tcPr>
            <w:tcW w:w="1262" w:type="dxa"/>
            <w:gridSpan w:val="2"/>
            <w:tcBorders>
              <w:top w:val="nil"/>
              <w:left w:val="nil"/>
              <w:bottom w:val="nil"/>
              <w:right w:val="nil"/>
            </w:tcBorders>
            <w:vAlign w:val="bottom"/>
          </w:tcPr>
          <w:p w:rsidR="00D36ECD" w:rsidRPr="002C5844" w:rsidRDefault="00D36ECD">
            <w:pPr>
              <w:ind w:left="57"/>
            </w:pPr>
            <w:r w:rsidRPr="002C5844">
              <w:t>г.</w:t>
            </w:r>
          </w:p>
        </w:tc>
        <w:tc>
          <w:tcPr>
            <w:tcW w:w="1843" w:type="dxa"/>
            <w:tcBorders>
              <w:top w:val="nil"/>
              <w:left w:val="nil"/>
              <w:bottom w:val="nil"/>
              <w:right w:val="nil"/>
            </w:tcBorders>
            <w:vAlign w:val="bottom"/>
          </w:tcPr>
          <w:p w:rsidR="00D36ECD" w:rsidRPr="00A0471B" w:rsidRDefault="00C66910">
            <w:pPr>
              <w:jc w:val="center"/>
            </w:pPr>
            <w:r>
              <w:t xml:space="preserve"> </w:t>
            </w:r>
          </w:p>
        </w:tc>
        <w:tc>
          <w:tcPr>
            <w:tcW w:w="2272" w:type="dxa"/>
            <w:gridSpan w:val="2"/>
            <w:tcBorders>
              <w:top w:val="nil"/>
              <w:left w:val="nil"/>
              <w:bottom w:val="nil"/>
            </w:tcBorders>
            <w:vAlign w:val="bottom"/>
          </w:tcPr>
          <w:p w:rsidR="00D36ECD" w:rsidRPr="00A0471B" w:rsidRDefault="00D36ECD"/>
        </w:tc>
      </w:tr>
      <w:tr w:rsidR="00D36ECD" w:rsidRPr="00A0471B" w:rsidTr="00C66910">
        <w:tblPrEx>
          <w:tblCellMar>
            <w:left w:w="28" w:type="dxa"/>
            <w:right w:w="28" w:type="dxa"/>
          </w:tblCellMar>
        </w:tblPrEx>
        <w:trPr>
          <w:gridAfter w:val="1"/>
          <w:wAfter w:w="76" w:type="dxa"/>
          <w:cantSplit/>
        </w:trPr>
        <w:tc>
          <w:tcPr>
            <w:tcW w:w="5954" w:type="dxa"/>
            <w:gridSpan w:val="8"/>
            <w:tcBorders>
              <w:top w:val="nil"/>
              <w:right w:val="nil"/>
            </w:tcBorders>
          </w:tcPr>
          <w:p w:rsidR="00D36ECD" w:rsidRPr="00A0471B" w:rsidRDefault="00D36ECD" w:rsidP="00A65D2C"/>
        </w:tc>
        <w:tc>
          <w:tcPr>
            <w:tcW w:w="1843" w:type="dxa"/>
            <w:tcBorders>
              <w:top w:val="nil"/>
              <w:left w:val="nil"/>
              <w:right w:val="nil"/>
            </w:tcBorders>
          </w:tcPr>
          <w:p w:rsidR="00D36ECD" w:rsidRPr="00A0471B" w:rsidRDefault="00D36ECD">
            <w:pPr>
              <w:jc w:val="center"/>
            </w:pPr>
          </w:p>
        </w:tc>
        <w:tc>
          <w:tcPr>
            <w:tcW w:w="2272" w:type="dxa"/>
            <w:gridSpan w:val="2"/>
            <w:tcBorders>
              <w:top w:val="nil"/>
              <w:left w:val="nil"/>
            </w:tcBorders>
          </w:tcPr>
          <w:p w:rsidR="00D36ECD" w:rsidRPr="00A0471B" w:rsidRDefault="00D36ECD"/>
        </w:tc>
      </w:tr>
    </w:tbl>
    <w:p w:rsidR="001F0FC0" w:rsidRPr="00A0471B" w:rsidRDefault="001F0FC0" w:rsidP="00A65D2C"/>
    <w:sectPr w:rsidR="001F0FC0" w:rsidRPr="00A0471B" w:rsidSect="005F1F8D">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CD"/>
    <w:rsid w:val="00011885"/>
    <w:rsid w:val="00050291"/>
    <w:rsid w:val="00080316"/>
    <w:rsid w:val="000908A9"/>
    <w:rsid w:val="00095271"/>
    <w:rsid w:val="000C4785"/>
    <w:rsid w:val="000C5981"/>
    <w:rsid w:val="000E24EC"/>
    <w:rsid w:val="000E6E57"/>
    <w:rsid w:val="000F7CB4"/>
    <w:rsid w:val="00103F86"/>
    <w:rsid w:val="00105C41"/>
    <w:rsid w:val="00107C51"/>
    <w:rsid w:val="00163597"/>
    <w:rsid w:val="0019000C"/>
    <w:rsid w:val="0019507F"/>
    <w:rsid w:val="001A2371"/>
    <w:rsid w:val="001A74ED"/>
    <w:rsid w:val="001D22FA"/>
    <w:rsid w:val="001F0FC0"/>
    <w:rsid w:val="002657D4"/>
    <w:rsid w:val="00266BA1"/>
    <w:rsid w:val="00271937"/>
    <w:rsid w:val="00272F2E"/>
    <w:rsid w:val="00280942"/>
    <w:rsid w:val="00290F50"/>
    <w:rsid w:val="00291AF9"/>
    <w:rsid w:val="00297919"/>
    <w:rsid w:val="002C5844"/>
    <w:rsid w:val="002D38AF"/>
    <w:rsid w:val="0038596B"/>
    <w:rsid w:val="003A11FA"/>
    <w:rsid w:val="003A39F6"/>
    <w:rsid w:val="003D0343"/>
    <w:rsid w:val="003D6C58"/>
    <w:rsid w:val="00405549"/>
    <w:rsid w:val="00425A6F"/>
    <w:rsid w:val="00437EEE"/>
    <w:rsid w:val="004443F0"/>
    <w:rsid w:val="00487640"/>
    <w:rsid w:val="004D639E"/>
    <w:rsid w:val="004E666C"/>
    <w:rsid w:val="004E7820"/>
    <w:rsid w:val="004F1FAB"/>
    <w:rsid w:val="004F55B1"/>
    <w:rsid w:val="00504E84"/>
    <w:rsid w:val="00583FA5"/>
    <w:rsid w:val="005F0142"/>
    <w:rsid w:val="005F1F8D"/>
    <w:rsid w:val="00624595"/>
    <w:rsid w:val="006305BF"/>
    <w:rsid w:val="006A5AF8"/>
    <w:rsid w:val="006B14AC"/>
    <w:rsid w:val="006B4E23"/>
    <w:rsid w:val="006C2651"/>
    <w:rsid w:val="006C4094"/>
    <w:rsid w:val="006F005B"/>
    <w:rsid w:val="006F60F7"/>
    <w:rsid w:val="007058B6"/>
    <w:rsid w:val="007073EC"/>
    <w:rsid w:val="00722159"/>
    <w:rsid w:val="007266B5"/>
    <w:rsid w:val="00737897"/>
    <w:rsid w:val="007409DE"/>
    <w:rsid w:val="00745E38"/>
    <w:rsid w:val="00763885"/>
    <w:rsid w:val="007678F3"/>
    <w:rsid w:val="00785514"/>
    <w:rsid w:val="00796583"/>
    <w:rsid w:val="007A4122"/>
    <w:rsid w:val="007C7A18"/>
    <w:rsid w:val="007D288E"/>
    <w:rsid w:val="007E4E34"/>
    <w:rsid w:val="007E6976"/>
    <w:rsid w:val="007E7FA8"/>
    <w:rsid w:val="00816861"/>
    <w:rsid w:val="0085010A"/>
    <w:rsid w:val="00856713"/>
    <w:rsid w:val="00881202"/>
    <w:rsid w:val="00896A1A"/>
    <w:rsid w:val="008A078C"/>
    <w:rsid w:val="008A41DB"/>
    <w:rsid w:val="008B53B2"/>
    <w:rsid w:val="008F30A5"/>
    <w:rsid w:val="009101E1"/>
    <w:rsid w:val="00923BEE"/>
    <w:rsid w:val="009406D1"/>
    <w:rsid w:val="00960CC6"/>
    <w:rsid w:val="00965099"/>
    <w:rsid w:val="009718A1"/>
    <w:rsid w:val="009720CE"/>
    <w:rsid w:val="00976253"/>
    <w:rsid w:val="009905B5"/>
    <w:rsid w:val="00992E08"/>
    <w:rsid w:val="009978E3"/>
    <w:rsid w:val="009A0B23"/>
    <w:rsid w:val="009A50AE"/>
    <w:rsid w:val="009A564B"/>
    <w:rsid w:val="009D5009"/>
    <w:rsid w:val="009F74F1"/>
    <w:rsid w:val="00A0471B"/>
    <w:rsid w:val="00A04DCB"/>
    <w:rsid w:val="00A412A5"/>
    <w:rsid w:val="00A65D2C"/>
    <w:rsid w:val="00A70FD9"/>
    <w:rsid w:val="00A7453C"/>
    <w:rsid w:val="00AC18DD"/>
    <w:rsid w:val="00AD099A"/>
    <w:rsid w:val="00B002D8"/>
    <w:rsid w:val="00B03280"/>
    <w:rsid w:val="00B5257F"/>
    <w:rsid w:val="00B616F8"/>
    <w:rsid w:val="00B63F33"/>
    <w:rsid w:val="00B67B05"/>
    <w:rsid w:val="00B856BB"/>
    <w:rsid w:val="00BB2FDE"/>
    <w:rsid w:val="00BD61F6"/>
    <w:rsid w:val="00BD75BF"/>
    <w:rsid w:val="00BE5D71"/>
    <w:rsid w:val="00BE6281"/>
    <w:rsid w:val="00C23667"/>
    <w:rsid w:val="00C25FC1"/>
    <w:rsid w:val="00C60A77"/>
    <w:rsid w:val="00C66910"/>
    <w:rsid w:val="00C66B7C"/>
    <w:rsid w:val="00C7255B"/>
    <w:rsid w:val="00C750A7"/>
    <w:rsid w:val="00C84072"/>
    <w:rsid w:val="00C946C9"/>
    <w:rsid w:val="00CA3571"/>
    <w:rsid w:val="00CB12E1"/>
    <w:rsid w:val="00CC5324"/>
    <w:rsid w:val="00CD7312"/>
    <w:rsid w:val="00CE0B56"/>
    <w:rsid w:val="00CF3451"/>
    <w:rsid w:val="00D12CC2"/>
    <w:rsid w:val="00D1609D"/>
    <w:rsid w:val="00D169B0"/>
    <w:rsid w:val="00D258BA"/>
    <w:rsid w:val="00D26B40"/>
    <w:rsid w:val="00D3277F"/>
    <w:rsid w:val="00D36ECD"/>
    <w:rsid w:val="00D46887"/>
    <w:rsid w:val="00D910D3"/>
    <w:rsid w:val="00DB5F19"/>
    <w:rsid w:val="00DC58C8"/>
    <w:rsid w:val="00DE290F"/>
    <w:rsid w:val="00E15CA7"/>
    <w:rsid w:val="00E21FE6"/>
    <w:rsid w:val="00E3148C"/>
    <w:rsid w:val="00E4019E"/>
    <w:rsid w:val="00E61439"/>
    <w:rsid w:val="00E70467"/>
    <w:rsid w:val="00E92591"/>
    <w:rsid w:val="00EA4A94"/>
    <w:rsid w:val="00EC348C"/>
    <w:rsid w:val="00EF2B03"/>
    <w:rsid w:val="00F223ED"/>
    <w:rsid w:val="00F25772"/>
    <w:rsid w:val="00F37DAA"/>
    <w:rsid w:val="00F647EC"/>
    <w:rsid w:val="00F809BF"/>
    <w:rsid w:val="00F85162"/>
    <w:rsid w:val="00FB7F31"/>
    <w:rsid w:val="00FD23CE"/>
    <w:rsid w:val="00FF6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82A233"/>
  <w15:chartTrackingRefBased/>
  <w15:docId w15:val="{ACC5AED0-2D17-4F68-A137-452DFC3E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6ECD"/>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36ECD"/>
    <w:pPr>
      <w:jc w:val="both"/>
    </w:pPr>
    <w:rPr>
      <w:rFonts w:ascii="Arial" w:hAnsi="Arial" w:cs="Arial"/>
    </w:rPr>
  </w:style>
  <w:style w:type="character" w:customStyle="1" w:styleId="a4">
    <w:name w:val="Основной текст с отступом Знак"/>
    <w:link w:val="a3"/>
    <w:uiPriority w:val="99"/>
    <w:locked/>
    <w:rsid w:val="00D36ECD"/>
    <w:rPr>
      <w:rFonts w:ascii="Arial" w:hAnsi="Arial" w:cs="Arial"/>
      <w:sz w:val="24"/>
      <w:szCs w:val="24"/>
      <w:lang w:val="x-none" w:eastAsia="ru-RU"/>
    </w:rPr>
  </w:style>
  <w:style w:type="paragraph" w:customStyle="1" w:styleId="prilozhenie">
    <w:name w:val="prilozhenie"/>
    <w:basedOn w:val="a"/>
    <w:uiPriority w:val="99"/>
    <w:rsid w:val="00D36ECD"/>
    <w:pPr>
      <w:ind w:firstLine="709"/>
      <w:jc w:val="both"/>
    </w:pPr>
    <w:rPr>
      <w:lang w:eastAsia="en-US"/>
    </w:rPr>
  </w:style>
  <w:style w:type="character" w:styleId="a5">
    <w:name w:val="Hyperlink"/>
    <w:uiPriority w:val="99"/>
    <w:rsid w:val="00D36ECD"/>
    <w:rPr>
      <w:rFonts w:cs="Times New Roman"/>
      <w:color w:val="0000FF"/>
      <w:u w:val="single"/>
    </w:rPr>
  </w:style>
  <w:style w:type="paragraph" w:customStyle="1" w:styleId="1">
    <w:name w:val="Стиль Абзаца 1"/>
    <w:basedOn w:val="a"/>
    <w:uiPriority w:val="99"/>
    <w:rsid w:val="00C60A77"/>
    <w:pPr>
      <w:autoSpaceDE w:val="0"/>
      <w:autoSpaceDN w:val="0"/>
      <w:spacing w:before="120"/>
      <w:ind w:firstLine="851"/>
      <w:jc w:val="both"/>
    </w:pPr>
  </w:style>
  <w:style w:type="paragraph" w:styleId="a6">
    <w:name w:val="Balloon Text"/>
    <w:basedOn w:val="a"/>
    <w:link w:val="a7"/>
    <w:uiPriority w:val="99"/>
    <w:semiHidden/>
    <w:unhideWhenUsed/>
    <w:rsid w:val="00C84072"/>
    <w:rPr>
      <w:rFonts w:ascii="Tahoma" w:hAnsi="Tahoma" w:cs="Tahoma"/>
      <w:sz w:val="16"/>
      <w:szCs w:val="16"/>
    </w:rPr>
  </w:style>
  <w:style w:type="character" w:customStyle="1" w:styleId="a7">
    <w:name w:val="Текст выноски Знак"/>
    <w:link w:val="a6"/>
    <w:uiPriority w:val="99"/>
    <w:semiHidden/>
    <w:locked/>
    <w:rsid w:val="00C84072"/>
    <w:rPr>
      <w:rFonts w:ascii="Tahoma" w:hAnsi="Tahoma" w:cs="Tahoma"/>
      <w:sz w:val="16"/>
      <w:szCs w:val="16"/>
    </w:rPr>
  </w:style>
  <w:style w:type="paragraph" w:customStyle="1" w:styleId="ConsPlusNormal">
    <w:name w:val="ConsPlusNormal"/>
    <w:rsid w:val="009A564B"/>
    <w:pPr>
      <w:autoSpaceDE w:val="0"/>
      <w:autoSpaceDN w:val="0"/>
      <w:adjustRightInd w:val="0"/>
    </w:pPr>
    <w:rPr>
      <w:rFonts w:ascii="Times New Roman" w:hAnsi="Times New Roman" w:cs="Times New Roman"/>
      <w:sz w:val="24"/>
      <w:szCs w:val="24"/>
    </w:rPr>
  </w:style>
  <w:style w:type="paragraph" w:customStyle="1" w:styleId="Default">
    <w:name w:val="Default"/>
    <w:rsid w:val="008B53B2"/>
    <w:pPr>
      <w:autoSpaceDE w:val="0"/>
      <w:autoSpaceDN w:val="0"/>
      <w:adjustRightInd w:val="0"/>
    </w:pPr>
    <w:rPr>
      <w:rFonts w:ascii="Times New Roman" w:hAnsi="Times New Roman" w:cs="Times New Roman"/>
      <w:color w:val="000000"/>
      <w:sz w:val="24"/>
      <w:szCs w:val="24"/>
    </w:rPr>
  </w:style>
  <w:style w:type="character" w:styleId="a8">
    <w:name w:val="FollowedHyperlink"/>
    <w:uiPriority w:val="99"/>
    <w:semiHidden/>
    <w:unhideWhenUsed/>
    <w:rsid w:val="008B53B2"/>
    <w:rPr>
      <w:color w:val="800080"/>
      <w:u w:val="single"/>
    </w:rPr>
  </w:style>
  <w:style w:type="character" w:customStyle="1" w:styleId="Subst">
    <w:name w:val="Subst"/>
    <w:uiPriority w:val="99"/>
    <w:rsid w:val="009978E3"/>
    <w:rPr>
      <w:b/>
      <w:bCs/>
      <w:i/>
      <w:iCs/>
    </w:rPr>
  </w:style>
  <w:style w:type="character" w:styleId="a9">
    <w:name w:val="annotation reference"/>
    <w:uiPriority w:val="99"/>
    <w:semiHidden/>
    <w:unhideWhenUsed/>
    <w:rsid w:val="00487640"/>
    <w:rPr>
      <w:sz w:val="16"/>
      <w:szCs w:val="16"/>
    </w:rPr>
  </w:style>
  <w:style w:type="paragraph" w:styleId="aa">
    <w:name w:val="annotation text"/>
    <w:basedOn w:val="a"/>
    <w:link w:val="ab"/>
    <w:uiPriority w:val="99"/>
    <w:semiHidden/>
    <w:unhideWhenUsed/>
    <w:rsid w:val="00487640"/>
    <w:rPr>
      <w:sz w:val="20"/>
      <w:szCs w:val="20"/>
    </w:rPr>
  </w:style>
  <w:style w:type="character" w:customStyle="1" w:styleId="ab">
    <w:name w:val="Текст примечания Знак"/>
    <w:link w:val="aa"/>
    <w:uiPriority w:val="99"/>
    <w:semiHidden/>
    <w:rsid w:val="00487640"/>
    <w:rPr>
      <w:rFonts w:ascii="Times New Roman" w:hAnsi="Times New Roman" w:cs="Times New Roman"/>
    </w:rPr>
  </w:style>
  <w:style w:type="paragraph" w:styleId="ac">
    <w:name w:val="annotation subject"/>
    <w:basedOn w:val="aa"/>
    <w:next w:val="aa"/>
    <w:link w:val="ad"/>
    <w:uiPriority w:val="99"/>
    <w:semiHidden/>
    <w:unhideWhenUsed/>
    <w:rsid w:val="00266BA1"/>
    <w:rPr>
      <w:b/>
      <w:bCs/>
    </w:rPr>
  </w:style>
  <w:style w:type="character" w:customStyle="1" w:styleId="ad">
    <w:name w:val="Тема примечания Знак"/>
    <w:link w:val="ac"/>
    <w:uiPriority w:val="99"/>
    <w:semiHidden/>
    <w:rsid w:val="00266BA1"/>
    <w:rPr>
      <w:rFonts w:ascii="Times New Roman" w:hAnsi="Times New Roman" w:cs="Times New Roman"/>
      <w:b/>
      <w:bCs/>
    </w:rPr>
  </w:style>
  <w:style w:type="character" w:customStyle="1" w:styleId="hl">
    <w:name w:val="hl"/>
    <w:rsid w:val="00745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762500">
      <w:bodyDiv w:val="1"/>
      <w:marLeft w:val="0"/>
      <w:marRight w:val="0"/>
      <w:marTop w:val="0"/>
      <w:marBottom w:val="0"/>
      <w:divBdr>
        <w:top w:val="none" w:sz="0" w:space="0" w:color="auto"/>
        <w:left w:val="none" w:sz="0" w:space="0" w:color="auto"/>
        <w:bottom w:val="none" w:sz="0" w:space="0" w:color="auto"/>
        <w:right w:val="none" w:sz="0" w:space="0" w:color="auto"/>
      </w:divBdr>
    </w:div>
    <w:div w:id="2134865177">
      <w:marLeft w:val="0"/>
      <w:marRight w:val="0"/>
      <w:marTop w:val="0"/>
      <w:marBottom w:val="0"/>
      <w:divBdr>
        <w:top w:val="none" w:sz="0" w:space="0" w:color="auto"/>
        <w:left w:val="none" w:sz="0" w:space="0" w:color="auto"/>
        <w:bottom w:val="none" w:sz="0" w:space="0" w:color="auto"/>
        <w:right w:val="none" w:sz="0" w:space="0" w:color="auto"/>
      </w:divBdr>
    </w:div>
    <w:div w:id="2134865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119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B933F8DAAAEF645B2BBBE13FFE4440D" ma:contentTypeVersion="16" ma:contentTypeDescription="Создание документа." ma:contentTypeScope="" ma:versionID="7e0bb212e4b94599347a89f3b6edd8bb">
  <xsd:schema xmlns:xsd="http://www.w3.org/2001/XMLSchema" xmlns:xs="http://www.w3.org/2001/XMLSchema" xmlns:p="http://schemas.microsoft.com/office/2006/metadata/properties" xmlns:ns3="7795ca64-529e-4c85-be7f-b05fbc23e092" xmlns:ns4="b5be869f-8a76-426f-a4b3-f1df34d8aa6e" targetNamespace="http://schemas.microsoft.com/office/2006/metadata/properties" ma:root="true" ma:fieldsID="99d175e7673bd8e353b74b3d54db71f5" ns3:_="" ns4:_="">
    <xsd:import namespace="7795ca64-529e-4c85-be7f-b05fbc23e092"/>
    <xsd:import namespace="b5be869f-8a76-426f-a4b3-f1df34d8aa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5ca64-529e-4c85-be7f-b05fbc23e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e869f-8a76-426f-a4b3-f1df34d8aa6e"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SharingHintHash" ma:index="14"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795ca64-529e-4c85-be7f-b05fbc23e092" xsi:nil="true"/>
  </documentManagement>
</p:properties>
</file>

<file path=customXml/itemProps1.xml><?xml version="1.0" encoding="utf-8"?>
<ds:datastoreItem xmlns:ds="http://schemas.openxmlformats.org/officeDocument/2006/customXml" ds:itemID="{1A6142B7-32CC-4E70-81F9-3E0A41B97A3C}">
  <ds:schemaRefs>
    <ds:schemaRef ds:uri="http://schemas.microsoft.com/office/2006/metadata/longProperties"/>
  </ds:schemaRefs>
</ds:datastoreItem>
</file>

<file path=customXml/itemProps2.xml><?xml version="1.0" encoding="utf-8"?>
<ds:datastoreItem xmlns:ds="http://schemas.openxmlformats.org/officeDocument/2006/customXml" ds:itemID="{35BFC73D-3D40-48E9-A528-27B8D8A77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5ca64-529e-4c85-be7f-b05fbc23e092"/>
    <ds:schemaRef ds:uri="b5be869f-8a76-426f-a4b3-f1df34d8a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54539-B664-4D7F-B7C5-643E136999F6}">
  <ds:schemaRefs>
    <ds:schemaRef ds:uri="http://schemas.microsoft.com/sharepoint/v3/contenttype/forms"/>
  </ds:schemaRefs>
</ds:datastoreItem>
</file>

<file path=customXml/itemProps4.xml><?xml version="1.0" encoding="utf-8"?>
<ds:datastoreItem xmlns:ds="http://schemas.openxmlformats.org/officeDocument/2006/customXml" ds:itemID="{0E834280-74A9-44F5-914B-47FC3224FA94}">
  <ds:schemaRefs>
    <ds:schemaRef ds:uri="http://schemas.microsoft.com/office/2006/metadata/properties"/>
    <ds:schemaRef ds:uri="http://schemas.microsoft.com/office/infopath/2007/PartnerControls"/>
    <ds:schemaRef ds:uri="7795ca64-529e-4c85-be7f-b05fbc23e092"/>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535</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1</Company>
  <LinksUpToDate>false</LinksUpToDate>
  <CharactersWithSpaces>3578</CharactersWithSpaces>
  <SharedDoc>false</SharedDoc>
  <HLinks>
    <vt:vector size="6" baseType="variant">
      <vt:variant>
        <vt:i4>2818174</vt:i4>
      </vt:variant>
      <vt:variant>
        <vt:i4>0</vt:i4>
      </vt:variant>
      <vt:variant>
        <vt:i4>0</vt:i4>
      </vt:variant>
      <vt:variant>
        <vt:i4>5</vt:i4>
      </vt:variant>
      <vt:variant>
        <vt:lpwstr>http://www.e-disclosure.ru/portal/company.aspx?id=11194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Мещанинова М.А.</dc:creator>
  <cp:keywords/>
  <cp:lastModifiedBy>Бобонин Андрей Александрович</cp:lastModifiedBy>
  <cp:revision>7</cp:revision>
  <cp:lastPrinted>2013-07-01T06:07:00Z</cp:lastPrinted>
  <dcterms:created xsi:type="dcterms:W3CDTF">2025-11-17T16:52:00Z</dcterms:created>
  <dcterms:modified xsi:type="dcterms:W3CDTF">2025-11-18T11:43:00Z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Сергей Учакин</vt:lpwstr>
  </property>
  <property fmtid="{D5CDD505-2E9C-101B-9397-08002B2CF9AE}" pid="3" name="Order">
    <vt:lpwstr>600.000000000000</vt:lpwstr>
  </property>
  <property fmtid="{D5CDD505-2E9C-101B-9397-08002B2CF9AE}" pid="4" name="display_urn:schemas-microsoft-com:office:office#Author">
    <vt:lpwstr>Сергей Учакин</vt:lpwstr>
  </property>
  <property fmtid="{D5CDD505-2E9C-101B-9397-08002B2CF9AE}" pid="5" name="ContentTypeId">
    <vt:lpwstr>0x0101002B933F8DAAAEF645B2BBBE13FFE4440D</vt:lpwstr>
  </property>
  <property fmtid="{D5CDD505-2E9C-101B-9397-08002B2CF9AE}" pid="6" name="TaxCatchAll">
    <vt:lpwstr/>
  </property>
  <property fmtid="{D5CDD505-2E9C-101B-9397-08002B2CF9AE}" pid="7" name="lcf76f155ced4ddcb4097134ff3c332f">
    <vt:lpwstr/>
  </property>
</Properties>
</file>