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RNS </w:t>
      </w:r>
      <w:proofErr w:type="gram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Number :</w:t>
      </w:r>
      <w:proofErr w:type="gram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5569F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OJSC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</w:t>
      </w:r>
      <w:proofErr w:type="spellEnd"/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25 April 2014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﻿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FOR IMMEDIATE RELEASE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JSC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</w:t>
      </w:r>
      <w:proofErr w:type="spellEnd"/>
    </w:p>
    <w:p w:rsidR="006C1C46" w:rsidRPr="006C1C46" w:rsidRDefault="006C1C46" w:rsidP="006C1C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25 April 2014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Notification of Change in Shareholding in JSC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</w:t>
      </w:r>
      <w:proofErr w:type="spellEnd"/>
    </w:p>
    <w:p w:rsidR="006C1C46" w:rsidRPr="006C1C46" w:rsidRDefault="006C1C46" w:rsidP="006C1C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On 25 April 2014, JSC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 </w:t>
      </w:r>
      <w:r w:rsidRPr="006C1C4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(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"</w:t>
      </w:r>
      <w:proofErr w:type="spellStart"/>
      <w:r w:rsidRPr="006C1C4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TransContainer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") (</w:t>
      </w:r>
      <w:r w:rsidRPr="006C1C46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TRCN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) was notified of the acquisition of 1.94% of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TransContainer's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ordinary shares by CJSC «Management Company «TRANSFINGROUP» on 16 April 2014. As a result of this, CJSC «Management Company «TRANSFINGROUP» held 11.17% of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TransContainer's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share capital as at 16 April 2014.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 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Enquiries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:</w:t>
      </w:r>
    </w:p>
    <w:tbl>
      <w:tblPr>
        <w:tblW w:w="9021" w:type="dxa"/>
        <w:tblCellSpacing w:w="0" w:type="dxa"/>
        <w:tblInd w:w="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7"/>
        <w:gridCol w:w="2694"/>
      </w:tblGrid>
      <w:tr w:rsidR="006C1C46" w:rsidRPr="006C1C46" w:rsidTr="00D527AB">
        <w:trPr>
          <w:trHeight w:val="16"/>
          <w:tblCellSpacing w:w="0" w:type="dxa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TransContainer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C46" w:rsidRPr="006C1C46" w:rsidTr="00D527AB">
        <w:trPr>
          <w:trHeight w:val="1168"/>
          <w:tblCellSpacing w:w="0" w:type="dxa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Andrey 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Zhemchugov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>,</w:t>
            </w: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br/>
              <w:t>Director, Capital Markets and Investor Relations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tabs>
                <w:tab w:val="left" w:pos="2103"/>
              </w:tabs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+7 495 637 9178g&gt;</w:t>
            </w: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&lt;//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span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+7 495 609 6062g&gt;</w:t>
            </w: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&lt;//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span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</w:tr>
      <w:tr w:rsidR="006C1C46" w:rsidRPr="006C1C46" w:rsidTr="00D527AB">
        <w:trPr>
          <w:tblCellSpacing w:w="0" w:type="dxa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E-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mail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IR@trcont.ru</w:t>
            </w:r>
          </w:p>
        </w:tc>
      </w:tr>
      <w:tr w:rsidR="006C1C46" w:rsidRPr="006C1C46" w:rsidTr="00D527AB">
        <w:trPr>
          <w:tblCellSpacing w:w="0" w:type="dxa"/>
        </w:trPr>
        <w:tc>
          <w:tcPr>
            <w:tcW w:w="6327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Website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Pr="006C1C46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bdr w:val="none" w:sz="0" w:space="0" w:color="auto" w:frame="1"/>
                  <w:lang w:eastAsia="ru-RU"/>
                </w:rPr>
                <w:t>www.trcont.ru</w:t>
              </w:r>
            </w:hyperlink>
          </w:p>
        </w:tc>
      </w:tr>
    </w:tbl>
    <w:p w:rsidR="006C1C46" w:rsidRPr="006C1C46" w:rsidRDefault="006C1C46" w:rsidP="006C1C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666666"/>
          <w:sz w:val="20"/>
          <w:szCs w:val="20"/>
          <w:lang w:eastAsia="ru-RU"/>
        </w:rPr>
      </w:pPr>
    </w:p>
    <w:tbl>
      <w:tblPr>
        <w:tblW w:w="916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2"/>
        <w:gridCol w:w="1207"/>
        <w:gridCol w:w="1113"/>
        <w:gridCol w:w="1580"/>
      </w:tblGrid>
      <w:tr w:rsidR="006C1C46" w:rsidRPr="006C1C46" w:rsidTr="00D527AB">
        <w:trPr>
          <w:gridAfter w:val="1"/>
          <w:wAfter w:w="1580" w:type="dxa"/>
          <w:tblCellSpacing w:w="0" w:type="dxa"/>
        </w:trPr>
        <w:tc>
          <w:tcPr>
            <w:tcW w:w="5262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Instinctif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Partners</w:t>
            </w:r>
            <w:proofErr w:type="spellEnd"/>
          </w:p>
        </w:tc>
        <w:tc>
          <w:tcPr>
            <w:tcW w:w="23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1C46" w:rsidRPr="006C1C46" w:rsidTr="00D527AB">
        <w:trPr>
          <w:tblCellSpacing w:w="0" w:type="dxa"/>
        </w:trPr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6C1C46" w:rsidP="006C1C46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Tony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Friend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/ 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Galyna</w:t>
            </w:r>
            <w:proofErr w:type="spellEnd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Kulachek</w:t>
            </w:r>
            <w:proofErr w:type="spellEnd"/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180" w:type="dxa"/>
            </w:tcMar>
            <w:hideMark/>
          </w:tcPr>
          <w:p w:rsidR="006C1C46" w:rsidRPr="006C1C46" w:rsidRDefault="00D527AB" w:rsidP="00D527AB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+44 (0) 20 7457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 </w:t>
            </w:r>
            <w:r w:rsidRPr="006C1C46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2020g&gt;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val="en-US" w:eastAsia="ru-RU"/>
              </w:rPr>
              <w:t xml:space="preserve">     </w:t>
            </w:r>
            <w:bookmarkStart w:id="0" w:name="_GoBack"/>
            <w:bookmarkEnd w:id="0"/>
            <w:r w:rsidR="006C1C46"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&lt;//</w:t>
            </w:r>
            <w:proofErr w:type="spellStart"/>
            <w:r w:rsidR="006C1C46"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span</w:t>
            </w:r>
            <w:proofErr w:type="spellEnd"/>
            <w:r w:rsidR="006C1C46" w:rsidRPr="006C1C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&gt;</w:t>
            </w:r>
          </w:p>
        </w:tc>
      </w:tr>
    </w:tbl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 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About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TransContainer</w:t>
      </w:r>
      <w:proofErr w:type="spellEnd"/>
    </w:p>
    <w:p w:rsidR="006C1C46" w:rsidRPr="006C1C46" w:rsidRDefault="006C1C46" w:rsidP="006C1C46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(LSE ticker: TRCN) is the leading intermodal Transportation equipment for shipping cargo via various means of transport. Containers are durable enough for repeated use and can be stacked. Containers are divided into medium-duty (three- and five-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tonne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), which conform to former Soviet Union standards and are still used for shipments in Russia and the CIS, and ISO (20- and 40-foot) containers, which are used for Russian and international shipments. The universal standard unit </w:t>
      </w:r>
      <w:r w:rsidRPr="006C1C4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TEU (twenty-foot equivalent unit)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 was introduced to measure transport flow volumes.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br/>
      </w:r>
      <w:proofErr w:type="gramStart"/>
      <w:r w:rsidRPr="006C1C4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container</w:t>
      </w:r>
      <w:proofErr w:type="gram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 transportation company in Russia. It is the market leader in Russia by A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specialised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type of </w:t>
      </w:r>
      <w:r w:rsidRPr="006C1C4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rolling stock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 designed to carry ISO containers.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br/>
      </w:r>
      <w:proofErr w:type="gramStart"/>
      <w:r w:rsidRPr="006C1C4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flatcar</w:t>
      </w:r>
      <w:proofErr w:type="gram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 fleet size, container transportation by rail and rail-side A place equipped for the trans-shipment and storage of containers. A </w:t>
      </w:r>
      <w:r w:rsidRPr="006C1C46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bdr w:val="none" w:sz="0" w:space="0" w:color="auto" w:frame="1"/>
          <w:lang w:val="en-US" w:eastAsia="ru-RU"/>
        </w:rPr>
        <w:t>container terminal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br/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lastRenderedPageBreak/>
        <w:t>typically includes one or more container yards. Rail-based container terminals are equipped with spur tracks for loading and unloading containers to/from railroad platforms (cars).</w:t>
      </w: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br/>
      </w:r>
      <w:proofErr w:type="gram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container</w:t>
      </w:r>
      <w:proofErr w:type="gram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terminal throughput. As of 31 December 2013, it operated 26,305 flatcars and 62,367 containers. It owns a network of 46 rail-side container terminals in Russia, 19 rail-side terminals in Kazakhstan (through its joint venture company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KedenTransService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) and operates one terminal in Slovakia. Company's sales network comprises approximately 140 sales offices across Russia as well as presence in the CIS, Europe and Asia. </w:t>
      </w:r>
      <w:proofErr w:type="spellStart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TransContainer</w:t>
      </w:r>
      <w:proofErr w:type="spellEnd"/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 xml:space="preserve"> is listed at Moscow Exchange and LSE. Company's major shareholder is JSC Russian Railways with 50%+2 shares.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 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br/>
        <w:t>This information is provided by RNS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The company news service from the London Stock Exchange</w:t>
      </w:r>
    </w:p>
    <w:p w:rsidR="006C1C46" w:rsidRPr="006C1C46" w:rsidRDefault="006C1C46" w:rsidP="006C1C46">
      <w:pPr>
        <w:shd w:val="clear" w:color="auto" w:fill="FFFFFF"/>
        <w:spacing w:after="240" w:line="360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6C1C46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END</w:t>
      </w:r>
    </w:p>
    <w:p w:rsidR="008E3064" w:rsidRPr="006C1C46" w:rsidRDefault="008E3064">
      <w:pPr>
        <w:rPr>
          <w:rFonts w:ascii="Times New Roman" w:hAnsi="Times New Roman" w:cs="Times New Roman"/>
          <w:sz w:val="20"/>
          <w:szCs w:val="20"/>
        </w:rPr>
      </w:pPr>
    </w:p>
    <w:sectPr w:rsidR="008E3064" w:rsidRPr="006C1C46" w:rsidSect="006C1C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CFF" w:rsidRDefault="001E5CFF" w:rsidP="00F60EEA">
      <w:pPr>
        <w:spacing w:after="0" w:line="240" w:lineRule="auto"/>
      </w:pPr>
      <w:r>
        <w:separator/>
      </w:r>
    </w:p>
  </w:endnote>
  <w:endnote w:type="continuationSeparator" w:id="0">
    <w:p w:rsidR="001E5CFF" w:rsidRDefault="001E5CFF" w:rsidP="00F6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A" w:rsidRDefault="00F60EE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A" w:rsidRDefault="00F60EE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A" w:rsidRDefault="00F60EE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CFF" w:rsidRDefault="001E5CFF" w:rsidP="00F60EEA">
      <w:pPr>
        <w:spacing w:after="0" w:line="240" w:lineRule="auto"/>
      </w:pPr>
      <w:r>
        <w:separator/>
      </w:r>
    </w:p>
  </w:footnote>
  <w:footnote w:type="continuationSeparator" w:id="0">
    <w:p w:rsidR="001E5CFF" w:rsidRDefault="001E5CFF" w:rsidP="00F6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A" w:rsidRDefault="00F60EE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A" w:rsidRDefault="00F60EE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EEA" w:rsidRDefault="00F60EE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46"/>
    <w:rsid w:val="001E5CFF"/>
    <w:rsid w:val="006C1C46"/>
    <w:rsid w:val="008E3064"/>
    <w:rsid w:val="00C85176"/>
    <w:rsid w:val="00D527AB"/>
    <w:rsid w:val="00E37480"/>
    <w:rsid w:val="00F6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">
    <w:name w:val="av"/>
    <w:basedOn w:val="a"/>
    <w:rsid w:val="006C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">
    <w:name w:val="aj"/>
    <w:basedOn w:val="a0"/>
    <w:rsid w:val="006C1C46"/>
  </w:style>
  <w:style w:type="paragraph" w:customStyle="1" w:styleId="a4">
    <w:name w:val="a"/>
    <w:basedOn w:val="a"/>
    <w:rsid w:val="006C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af"/>
    <w:basedOn w:val="a0"/>
    <w:rsid w:val="006C1C46"/>
  </w:style>
  <w:style w:type="character" w:customStyle="1" w:styleId="aa">
    <w:name w:val="aa"/>
    <w:basedOn w:val="a0"/>
    <w:rsid w:val="006C1C46"/>
  </w:style>
  <w:style w:type="character" w:styleId="a5">
    <w:name w:val="Hyperlink"/>
    <w:basedOn w:val="a0"/>
    <w:uiPriority w:val="99"/>
    <w:semiHidden/>
    <w:unhideWhenUsed/>
    <w:rsid w:val="006C1C46"/>
    <w:rPr>
      <w:color w:val="0000FF"/>
      <w:u w:val="single"/>
    </w:rPr>
  </w:style>
  <w:style w:type="character" w:customStyle="1" w:styleId="tx-contagged-tooltip">
    <w:name w:val="tx-contagged-tooltip"/>
    <w:basedOn w:val="a0"/>
    <w:rsid w:val="006C1C46"/>
  </w:style>
  <w:style w:type="paragraph" w:styleId="a6">
    <w:name w:val="header"/>
    <w:basedOn w:val="a"/>
    <w:link w:val="a7"/>
    <w:uiPriority w:val="99"/>
    <w:unhideWhenUsed/>
    <w:rsid w:val="00F6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EEA"/>
  </w:style>
  <w:style w:type="paragraph" w:styleId="a8">
    <w:name w:val="footer"/>
    <w:basedOn w:val="a"/>
    <w:link w:val="a9"/>
    <w:uiPriority w:val="99"/>
    <w:unhideWhenUsed/>
    <w:rsid w:val="00F6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E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v">
    <w:name w:val="av"/>
    <w:basedOn w:val="a"/>
    <w:rsid w:val="006C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j">
    <w:name w:val="aj"/>
    <w:basedOn w:val="a0"/>
    <w:rsid w:val="006C1C46"/>
  </w:style>
  <w:style w:type="paragraph" w:customStyle="1" w:styleId="a4">
    <w:name w:val="a"/>
    <w:basedOn w:val="a"/>
    <w:rsid w:val="006C1C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af"/>
    <w:basedOn w:val="a0"/>
    <w:rsid w:val="006C1C46"/>
  </w:style>
  <w:style w:type="character" w:customStyle="1" w:styleId="aa">
    <w:name w:val="aa"/>
    <w:basedOn w:val="a0"/>
    <w:rsid w:val="006C1C46"/>
  </w:style>
  <w:style w:type="character" w:styleId="a5">
    <w:name w:val="Hyperlink"/>
    <w:basedOn w:val="a0"/>
    <w:uiPriority w:val="99"/>
    <w:semiHidden/>
    <w:unhideWhenUsed/>
    <w:rsid w:val="006C1C46"/>
    <w:rPr>
      <w:color w:val="0000FF"/>
      <w:u w:val="single"/>
    </w:rPr>
  </w:style>
  <w:style w:type="character" w:customStyle="1" w:styleId="tx-contagged-tooltip">
    <w:name w:val="tx-contagged-tooltip"/>
    <w:basedOn w:val="a0"/>
    <w:rsid w:val="006C1C46"/>
  </w:style>
  <w:style w:type="paragraph" w:styleId="a6">
    <w:name w:val="header"/>
    <w:basedOn w:val="a"/>
    <w:link w:val="a7"/>
    <w:uiPriority w:val="99"/>
    <w:unhideWhenUsed/>
    <w:rsid w:val="00F6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0EEA"/>
  </w:style>
  <w:style w:type="paragraph" w:styleId="a8">
    <w:name w:val="footer"/>
    <w:basedOn w:val="a"/>
    <w:link w:val="a9"/>
    <w:uiPriority w:val="99"/>
    <w:unhideWhenUsed/>
    <w:rsid w:val="00F6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rcont.ru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2017-12-22T08:52:00Z</dcterms:created>
  <dcterms:modified xsi:type="dcterms:W3CDTF">2017-12-22T08:52:00Z</dcterms:modified>
</cp:coreProperties>
</file>