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1AD219D"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7A307E">
                              <w:rPr>
                                <w:rFonts w:ascii="Arial" w:hAnsi="Arial" w:cs="Arial"/>
                                <w:color w:val="002D53"/>
                                <w:sz w:val="18"/>
                                <w:szCs w:val="18"/>
                                <w:u w:val="single"/>
                              </w:rPr>
                              <w:t>26.01.2022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1AD219D"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7A307E">
                        <w:rPr>
                          <w:rFonts w:ascii="Arial" w:hAnsi="Arial" w:cs="Arial"/>
                          <w:color w:val="002D53"/>
                          <w:sz w:val="18"/>
                          <w:szCs w:val="18"/>
                          <w:u w:val="single"/>
                        </w:rPr>
                        <w:t>26.01.2022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130EF8AB"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w:t>
      </w:r>
      <w:proofErr w:type="spellStart"/>
      <w:r w:rsidRPr="001A790B">
        <w:rPr>
          <w:rFonts w:ascii="Times New Roman" w:eastAsia="Times New Roman" w:hAnsi="Times New Roman" w:cs="Times New Roman"/>
          <w:b/>
          <w:bCs/>
          <w:snapToGrid w:val="0"/>
          <w:sz w:val="28"/>
          <w:szCs w:val="28"/>
          <w:lang w:eastAsia="ru-RU"/>
        </w:rPr>
        <w:t>ТрансКонтейнер</w:t>
      </w:r>
      <w:proofErr w:type="spellEnd"/>
      <w:r w:rsidRPr="001A790B">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w:t>
      </w:r>
      <w:r w:rsidR="007A307E">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-000</w:t>
      </w:r>
      <w:r w:rsidR="007A307E">
        <w:rPr>
          <w:rFonts w:ascii="Times New Roman" w:eastAsia="Times New Roman" w:hAnsi="Times New Roman" w:cs="Times New Roman"/>
          <w:b/>
          <w:bCs/>
          <w:snapToGrid w:val="0"/>
          <w:sz w:val="28"/>
          <w:szCs w:val="28"/>
          <w:lang w:eastAsia="ru-RU"/>
        </w:rPr>
        <w:t>4</w:t>
      </w:r>
      <w:r w:rsidRPr="001A790B">
        <w:rPr>
          <w:rFonts w:ascii="Times New Roman" w:eastAsia="Times New Roman" w:hAnsi="Times New Roman" w:cs="Times New Roman"/>
          <w:b/>
          <w:bCs/>
          <w:snapToGrid w:val="0"/>
          <w:sz w:val="28"/>
          <w:szCs w:val="28"/>
          <w:lang w:eastAsia="ru-RU"/>
        </w:rPr>
        <w:t xml:space="preserve"> на право заключения договоров поставки 20-футовых и 40-футовых контейнеров</w:t>
      </w:r>
    </w:p>
    <w:p w14:paraId="18D205B8" w14:textId="77777777"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(далее - Открытый конкурс)</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3C8C8A3B" w14:textId="496AA5CC" w:rsidR="00A2371D" w:rsidRDefault="0099418A" w:rsidP="0099418A">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B676C89"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339F653D" w14:textId="217135D2" w:rsidR="007A307E" w:rsidRDefault="0099418A" w:rsidP="0099418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Пункты 5, 13 р</w:t>
      </w:r>
      <w:r w:rsidR="007A307E" w:rsidRPr="007A307E">
        <w:rPr>
          <w:rFonts w:ascii="Times New Roman" w:eastAsia="Times New Roman" w:hAnsi="Times New Roman" w:cs="Times New Roman"/>
          <w:sz w:val="28"/>
          <w:szCs w:val="28"/>
          <w:lang w:eastAsia="ar-SA"/>
        </w:rPr>
        <w:t>аздел</w:t>
      </w:r>
      <w:r>
        <w:rPr>
          <w:rFonts w:ascii="Times New Roman" w:eastAsia="Times New Roman" w:hAnsi="Times New Roman" w:cs="Times New Roman"/>
          <w:sz w:val="28"/>
          <w:szCs w:val="28"/>
          <w:lang w:eastAsia="ar-SA"/>
        </w:rPr>
        <w:t>а 5</w:t>
      </w:r>
      <w:r w:rsidR="007A307E" w:rsidRPr="007A307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007A307E" w:rsidRPr="007A307E">
        <w:rPr>
          <w:rFonts w:ascii="Times New Roman" w:eastAsia="Times New Roman" w:hAnsi="Times New Roman" w:cs="Times New Roman"/>
          <w:sz w:val="28"/>
          <w:szCs w:val="28"/>
          <w:lang w:eastAsia="ar-SA"/>
        </w:rPr>
        <w:t>Информационная карта</w:t>
      </w:r>
      <w:r>
        <w:rPr>
          <w:rFonts w:ascii="Times New Roman" w:eastAsia="Times New Roman" w:hAnsi="Times New Roman" w:cs="Times New Roman"/>
          <w:sz w:val="28"/>
          <w:szCs w:val="28"/>
          <w:lang w:eastAsia="ar-SA"/>
        </w:rPr>
        <w:t>»</w:t>
      </w:r>
      <w:r w:rsidR="007A307E" w:rsidRPr="007A307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документации о закупке</w:t>
      </w:r>
      <w:r w:rsidR="007A307E" w:rsidRPr="007A307E">
        <w:rPr>
          <w:rFonts w:ascii="Times New Roman" w:eastAsia="Times New Roman" w:hAnsi="Times New Roman" w:cs="Times New Roman"/>
          <w:sz w:val="28"/>
          <w:szCs w:val="28"/>
          <w:lang w:eastAsia="ar-SA"/>
        </w:rPr>
        <w:t xml:space="preserve"> изложить в следующей редакции:</w:t>
      </w:r>
    </w:p>
    <w:p w14:paraId="3D33ACF8" w14:textId="1F7409D0" w:rsidR="0099418A"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99418A" w14:paraId="60985E13" w14:textId="77777777" w:rsidTr="004B2C6E">
        <w:tc>
          <w:tcPr>
            <w:tcW w:w="426" w:type="dxa"/>
          </w:tcPr>
          <w:p w14:paraId="5DED8248" w14:textId="77777777" w:rsidR="0099418A" w:rsidRPr="00F86FAA" w:rsidRDefault="0099418A" w:rsidP="004B2C6E">
            <w:pPr>
              <w:pStyle w:val="10"/>
              <w:ind w:left="-57" w:right="-108" w:firstLine="0"/>
              <w:rPr>
                <w:b/>
                <w:sz w:val="24"/>
                <w:szCs w:val="24"/>
              </w:rPr>
            </w:pPr>
            <w:r>
              <w:rPr>
                <w:b/>
                <w:sz w:val="24"/>
                <w:szCs w:val="24"/>
              </w:rPr>
              <w:t>5.</w:t>
            </w:r>
          </w:p>
        </w:tc>
        <w:tc>
          <w:tcPr>
            <w:tcW w:w="2126" w:type="dxa"/>
          </w:tcPr>
          <w:p w14:paraId="7BABDA66" w14:textId="77777777" w:rsidR="0099418A" w:rsidRPr="00F86FAA" w:rsidRDefault="0099418A" w:rsidP="004B2C6E">
            <w:pPr>
              <w:pStyle w:val="Default"/>
              <w:rPr>
                <w:b/>
                <w:color w:val="auto"/>
              </w:rPr>
            </w:pPr>
            <w:r>
              <w:rPr>
                <w:b/>
                <w:color w:val="auto"/>
              </w:rPr>
              <w:t>Начальная (максимальная) цена договора/ цена лота</w:t>
            </w:r>
          </w:p>
        </w:tc>
        <w:tc>
          <w:tcPr>
            <w:tcW w:w="7200" w:type="dxa"/>
          </w:tcPr>
          <w:p w14:paraId="34771AFE" w14:textId="499CCC9D" w:rsidR="0099418A" w:rsidRPr="0099418A" w:rsidRDefault="0099418A" w:rsidP="0099418A">
            <w:pPr>
              <w:pStyle w:val="10"/>
              <w:rPr>
                <w:sz w:val="24"/>
                <w:szCs w:val="24"/>
              </w:rPr>
            </w:pPr>
            <w:r w:rsidRPr="0099418A">
              <w:rPr>
                <w:sz w:val="24"/>
                <w:szCs w:val="24"/>
              </w:rPr>
              <w:t>Лот №1</w:t>
            </w:r>
            <w:r>
              <w:rPr>
                <w:sz w:val="24"/>
                <w:szCs w:val="24"/>
              </w:rPr>
              <w:t xml:space="preserve"> </w:t>
            </w:r>
            <w:r w:rsidRPr="0099418A">
              <w:rPr>
                <w:sz w:val="24"/>
                <w:szCs w:val="24"/>
              </w:rPr>
              <w:t>–</w:t>
            </w:r>
            <w:r>
              <w:rPr>
                <w:sz w:val="24"/>
                <w:szCs w:val="24"/>
              </w:rPr>
              <w:t xml:space="preserve"> </w:t>
            </w:r>
            <w:r w:rsidRPr="0099418A">
              <w:rPr>
                <w:sz w:val="24"/>
                <w:szCs w:val="24"/>
              </w:rPr>
              <w:t xml:space="preserve">1 235 000 (один миллион двести тридцать пять тысяч) долларов США 00 центов с учетом всех налогов (кроме НДС). </w:t>
            </w:r>
          </w:p>
          <w:p w14:paraId="58534243" w14:textId="2279D6BC" w:rsidR="0099418A" w:rsidRPr="0099418A" w:rsidRDefault="0099418A" w:rsidP="0099418A">
            <w:pPr>
              <w:pStyle w:val="10"/>
              <w:rPr>
                <w:sz w:val="24"/>
                <w:szCs w:val="24"/>
              </w:rPr>
            </w:pPr>
            <w:r w:rsidRPr="0099418A">
              <w:rPr>
                <w:sz w:val="24"/>
                <w:szCs w:val="24"/>
              </w:rPr>
              <w:t>Лот №2</w:t>
            </w:r>
            <w:r>
              <w:rPr>
                <w:sz w:val="24"/>
                <w:szCs w:val="24"/>
              </w:rPr>
              <w:t xml:space="preserve"> </w:t>
            </w:r>
            <w:r w:rsidRPr="0099418A">
              <w:rPr>
                <w:sz w:val="24"/>
                <w:szCs w:val="24"/>
              </w:rPr>
              <w:t>–</w:t>
            </w:r>
            <w:r>
              <w:rPr>
                <w:sz w:val="24"/>
                <w:szCs w:val="24"/>
              </w:rPr>
              <w:t xml:space="preserve"> </w:t>
            </w:r>
            <w:r w:rsidRPr="0099418A">
              <w:rPr>
                <w:sz w:val="24"/>
                <w:szCs w:val="24"/>
              </w:rPr>
              <w:t xml:space="preserve">1 235 000 (один миллион двести тридцать пять тысяч) долларов США 00 центов с учетом всех налогов (кроме НДС). </w:t>
            </w:r>
          </w:p>
          <w:p w14:paraId="0D21E2D4" w14:textId="3D539219" w:rsidR="0099418A" w:rsidRPr="0099418A" w:rsidRDefault="0099418A" w:rsidP="0099418A">
            <w:pPr>
              <w:pStyle w:val="10"/>
              <w:rPr>
                <w:sz w:val="24"/>
                <w:szCs w:val="24"/>
              </w:rPr>
            </w:pPr>
            <w:r w:rsidRPr="0099418A">
              <w:rPr>
                <w:sz w:val="24"/>
                <w:szCs w:val="24"/>
              </w:rPr>
              <w:t>Лот №3</w:t>
            </w:r>
            <w:r>
              <w:rPr>
                <w:sz w:val="24"/>
                <w:szCs w:val="24"/>
              </w:rPr>
              <w:t xml:space="preserve"> </w:t>
            </w:r>
            <w:r w:rsidRPr="0099418A">
              <w:rPr>
                <w:sz w:val="24"/>
                <w:szCs w:val="24"/>
              </w:rPr>
              <w:t>–</w:t>
            </w:r>
            <w:r>
              <w:rPr>
                <w:sz w:val="24"/>
                <w:szCs w:val="24"/>
              </w:rPr>
              <w:t xml:space="preserve"> </w:t>
            </w:r>
            <w:r w:rsidRPr="0099418A">
              <w:rPr>
                <w:sz w:val="24"/>
                <w:szCs w:val="24"/>
              </w:rPr>
              <w:t xml:space="preserve">915 800 (девятьсот пятнадцать тысяч восемьсот) долларов США 00 центов с учетом всех налогов (кроме НДС). </w:t>
            </w:r>
          </w:p>
          <w:p w14:paraId="6807945D" w14:textId="2A9732CB" w:rsidR="0099418A" w:rsidRPr="0099418A" w:rsidRDefault="0099418A" w:rsidP="0099418A">
            <w:pPr>
              <w:pStyle w:val="10"/>
              <w:rPr>
                <w:sz w:val="24"/>
                <w:szCs w:val="24"/>
              </w:rPr>
            </w:pPr>
            <w:r w:rsidRPr="0099418A">
              <w:rPr>
                <w:sz w:val="24"/>
                <w:szCs w:val="24"/>
              </w:rPr>
              <w:t>Лот №4</w:t>
            </w:r>
            <w:r>
              <w:rPr>
                <w:sz w:val="24"/>
                <w:szCs w:val="24"/>
              </w:rPr>
              <w:t xml:space="preserve"> </w:t>
            </w:r>
            <w:r w:rsidRPr="0099418A">
              <w:rPr>
                <w:sz w:val="24"/>
                <w:szCs w:val="24"/>
              </w:rPr>
              <w:t>–</w:t>
            </w:r>
            <w:r>
              <w:rPr>
                <w:sz w:val="24"/>
                <w:szCs w:val="24"/>
              </w:rPr>
              <w:t xml:space="preserve"> </w:t>
            </w:r>
            <w:r w:rsidRPr="0099418A">
              <w:rPr>
                <w:sz w:val="24"/>
                <w:szCs w:val="24"/>
              </w:rPr>
              <w:t xml:space="preserve">1 235 000 (один миллион двести тридцать пять тысяч) долларов США 00 центов с учетом всех налогов (кроме НДС). </w:t>
            </w:r>
          </w:p>
          <w:p w14:paraId="05D39A37" w14:textId="41108953" w:rsidR="0099418A" w:rsidRPr="0099418A" w:rsidRDefault="0099418A" w:rsidP="0099418A">
            <w:pPr>
              <w:pStyle w:val="10"/>
              <w:rPr>
                <w:sz w:val="24"/>
                <w:szCs w:val="24"/>
              </w:rPr>
            </w:pPr>
            <w:r w:rsidRPr="0099418A">
              <w:rPr>
                <w:sz w:val="24"/>
                <w:szCs w:val="24"/>
              </w:rPr>
              <w:t>Лот №5</w:t>
            </w:r>
            <w:r>
              <w:rPr>
                <w:sz w:val="24"/>
                <w:szCs w:val="24"/>
              </w:rPr>
              <w:t xml:space="preserve"> </w:t>
            </w:r>
            <w:r w:rsidRPr="0099418A">
              <w:rPr>
                <w:sz w:val="24"/>
                <w:szCs w:val="24"/>
              </w:rPr>
              <w:t>–</w:t>
            </w:r>
            <w:r>
              <w:rPr>
                <w:sz w:val="24"/>
                <w:szCs w:val="24"/>
              </w:rPr>
              <w:t xml:space="preserve"> </w:t>
            </w:r>
            <w:r w:rsidRPr="0099418A">
              <w:rPr>
                <w:sz w:val="24"/>
                <w:szCs w:val="24"/>
              </w:rPr>
              <w:t>1 235 000 (один миллион двести тридцать пять тысяч) долларов США 00 центов с учетом всех налогов (кроме НДС).</w:t>
            </w:r>
          </w:p>
          <w:p w14:paraId="21CFEF12" w14:textId="3664776E" w:rsidR="0099418A" w:rsidRPr="0099418A" w:rsidRDefault="0099418A" w:rsidP="0099418A">
            <w:pPr>
              <w:pStyle w:val="10"/>
              <w:rPr>
                <w:sz w:val="24"/>
                <w:szCs w:val="24"/>
              </w:rPr>
            </w:pPr>
            <w:r w:rsidRPr="0099418A">
              <w:rPr>
                <w:sz w:val="24"/>
                <w:szCs w:val="24"/>
              </w:rPr>
              <w:t>Лот №6</w:t>
            </w:r>
            <w:r>
              <w:rPr>
                <w:sz w:val="24"/>
                <w:szCs w:val="24"/>
              </w:rPr>
              <w:t xml:space="preserve"> </w:t>
            </w:r>
            <w:r w:rsidRPr="0099418A">
              <w:rPr>
                <w:sz w:val="24"/>
                <w:szCs w:val="24"/>
              </w:rPr>
              <w:t>–</w:t>
            </w:r>
            <w:r>
              <w:rPr>
                <w:sz w:val="24"/>
                <w:szCs w:val="24"/>
              </w:rPr>
              <w:t xml:space="preserve"> </w:t>
            </w:r>
            <w:r w:rsidRPr="0099418A">
              <w:rPr>
                <w:sz w:val="24"/>
                <w:szCs w:val="24"/>
              </w:rPr>
              <w:t>915 800 девятьсот пятнадцать тысяч восемьсот) долларов США 00центов с учетом всех налогов (кроме НДС).</w:t>
            </w:r>
          </w:p>
          <w:p w14:paraId="41135D21" w14:textId="76A4375E" w:rsidR="0099418A" w:rsidRPr="0099418A" w:rsidRDefault="0099418A" w:rsidP="0099418A">
            <w:pPr>
              <w:pStyle w:val="10"/>
              <w:rPr>
                <w:sz w:val="24"/>
                <w:szCs w:val="24"/>
              </w:rPr>
            </w:pPr>
            <w:r w:rsidRPr="0099418A">
              <w:rPr>
                <w:sz w:val="24"/>
                <w:szCs w:val="24"/>
              </w:rPr>
              <w:t>Лот №7</w:t>
            </w:r>
            <w:r>
              <w:rPr>
                <w:sz w:val="24"/>
                <w:szCs w:val="24"/>
              </w:rPr>
              <w:t xml:space="preserve"> </w:t>
            </w:r>
            <w:r w:rsidRPr="0099418A">
              <w:rPr>
                <w:sz w:val="24"/>
                <w:szCs w:val="24"/>
              </w:rPr>
              <w:t>–</w:t>
            </w:r>
            <w:r>
              <w:rPr>
                <w:sz w:val="24"/>
                <w:szCs w:val="24"/>
              </w:rPr>
              <w:t xml:space="preserve"> </w:t>
            </w:r>
            <w:r w:rsidRPr="0099418A">
              <w:rPr>
                <w:sz w:val="24"/>
                <w:szCs w:val="24"/>
              </w:rPr>
              <w:t>1 330 000 (один миллион триста тридцать тысяч) долларов США 00 центов с учетом всех налогов (кроме НДС).</w:t>
            </w:r>
          </w:p>
          <w:p w14:paraId="1EE8A1CB" w14:textId="674669DA" w:rsidR="0099418A" w:rsidRPr="0099418A" w:rsidRDefault="0099418A" w:rsidP="0099418A">
            <w:pPr>
              <w:pStyle w:val="10"/>
              <w:rPr>
                <w:sz w:val="24"/>
                <w:szCs w:val="24"/>
              </w:rPr>
            </w:pPr>
            <w:r w:rsidRPr="0099418A">
              <w:rPr>
                <w:sz w:val="24"/>
                <w:szCs w:val="24"/>
              </w:rPr>
              <w:t>Лот №8</w:t>
            </w:r>
            <w:r>
              <w:rPr>
                <w:sz w:val="24"/>
                <w:szCs w:val="24"/>
              </w:rPr>
              <w:t xml:space="preserve"> </w:t>
            </w:r>
            <w:r w:rsidRPr="0099418A">
              <w:rPr>
                <w:sz w:val="24"/>
                <w:szCs w:val="24"/>
              </w:rPr>
              <w:t>–</w:t>
            </w:r>
            <w:r>
              <w:rPr>
                <w:sz w:val="24"/>
                <w:szCs w:val="24"/>
              </w:rPr>
              <w:t xml:space="preserve"> </w:t>
            </w:r>
            <w:r w:rsidRPr="0099418A">
              <w:rPr>
                <w:sz w:val="24"/>
                <w:szCs w:val="24"/>
              </w:rPr>
              <w:t>1 330 000 (один миллион триста тридцать тысяч) долларов США 00 центов с учетом всех налогов (кроме НДС).</w:t>
            </w:r>
          </w:p>
          <w:p w14:paraId="5D93A450" w14:textId="285BE7D4" w:rsidR="0099418A" w:rsidRPr="0099418A" w:rsidRDefault="0099418A" w:rsidP="0099418A">
            <w:pPr>
              <w:pStyle w:val="10"/>
              <w:rPr>
                <w:sz w:val="24"/>
                <w:szCs w:val="24"/>
              </w:rPr>
            </w:pPr>
            <w:r w:rsidRPr="0099418A">
              <w:rPr>
                <w:sz w:val="24"/>
                <w:szCs w:val="24"/>
              </w:rPr>
              <w:t>Лот №9</w:t>
            </w:r>
            <w:r>
              <w:rPr>
                <w:sz w:val="24"/>
                <w:szCs w:val="24"/>
              </w:rPr>
              <w:t xml:space="preserve"> </w:t>
            </w:r>
            <w:r w:rsidRPr="0099418A">
              <w:rPr>
                <w:sz w:val="24"/>
                <w:szCs w:val="24"/>
              </w:rPr>
              <w:t>–</w:t>
            </w:r>
            <w:r>
              <w:rPr>
                <w:sz w:val="24"/>
                <w:szCs w:val="24"/>
              </w:rPr>
              <w:t xml:space="preserve"> </w:t>
            </w:r>
            <w:r w:rsidRPr="0099418A">
              <w:rPr>
                <w:sz w:val="24"/>
                <w:szCs w:val="24"/>
              </w:rPr>
              <w:t>950 000(девятьсот пятьдесят тысяч) долларов США 00 центов с учетом всех налогов (кроме НДС).</w:t>
            </w:r>
          </w:p>
          <w:p w14:paraId="04137A6A" w14:textId="77B37FF8" w:rsidR="0099418A" w:rsidRPr="0099418A" w:rsidRDefault="0099418A" w:rsidP="0099418A">
            <w:pPr>
              <w:pStyle w:val="10"/>
              <w:rPr>
                <w:sz w:val="24"/>
                <w:szCs w:val="24"/>
              </w:rPr>
            </w:pPr>
            <w:r w:rsidRPr="0099418A">
              <w:rPr>
                <w:sz w:val="24"/>
                <w:szCs w:val="24"/>
              </w:rPr>
              <w:lastRenderedPageBreak/>
              <w:t>Лот №10</w:t>
            </w:r>
            <w:r>
              <w:rPr>
                <w:sz w:val="24"/>
                <w:szCs w:val="24"/>
              </w:rPr>
              <w:t xml:space="preserve"> </w:t>
            </w:r>
            <w:r w:rsidRPr="0099418A">
              <w:rPr>
                <w:sz w:val="24"/>
                <w:szCs w:val="24"/>
              </w:rPr>
              <w:t>–</w:t>
            </w:r>
            <w:r>
              <w:rPr>
                <w:sz w:val="24"/>
                <w:szCs w:val="24"/>
              </w:rPr>
              <w:t xml:space="preserve"> </w:t>
            </w:r>
            <w:r w:rsidRPr="0099418A">
              <w:rPr>
                <w:sz w:val="24"/>
                <w:szCs w:val="24"/>
              </w:rPr>
              <w:t>2 857 500 (два миллиона восемьсот пятьдесят семь тысяч пятьсот) долларов США 00 центов с учетом всех налогов (кроме НДС).</w:t>
            </w:r>
          </w:p>
          <w:p w14:paraId="7A4BF6D1" w14:textId="2C25FDA3" w:rsidR="0099418A" w:rsidRPr="0099418A" w:rsidRDefault="0099418A" w:rsidP="0099418A">
            <w:pPr>
              <w:pStyle w:val="10"/>
              <w:rPr>
                <w:sz w:val="24"/>
                <w:szCs w:val="24"/>
              </w:rPr>
            </w:pPr>
            <w:r w:rsidRPr="0099418A">
              <w:rPr>
                <w:sz w:val="24"/>
                <w:szCs w:val="24"/>
              </w:rPr>
              <w:t>Лот №11</w:t>
            </w:r>
            <w:r>
              <w:rPr>
                <w:sz w:val="24"/>
                <w:szCs w:val="24"/>
              </w:rPr>
              <w:t xml:space="preserve"> </w:t>
            </w:r>
            <w:r w:rsidRPr="0099418A">
              <w:rPr>
                <w:sz w:val="24"/>
                <w:szCs w:val="24"/>
              </w:rPr>
              <w:t>–</w:t>
            </w:r>
            <w:r>
              <w:rPr>
                <w:sz w:val="24"/>
                <w:szCs w:val="24"/>
              </w:rPr>
              <w:t xml:space="preserve"> </w:t>
            </w:r>
            <w:r w:rsidRPr="0099418A">
              <w:rPr>
                <w:sz w:val="24"/>
                <w:szCs w:val="24"/>
              </w:rPr>
              <w:t>2 857 500 (два миллиона восемьсот пятьдесят семь тысяч пятьсот) долларов США 00 центов с учетом всех налогов (кроме НДС).</w:t>
            </w:r>
          </w:p>
          <w:p w14:paraId="4F48A69D" w14:textId="763997DA" w:rsidR="0099418A" w:rsidRPr="0099418A" w:rsidRDefault="0099418A" w:rsidP="0099418A">
            <w:pPr>
              <w:pStyle w:val="10"/>
              <w:rPr>
                <w:sz w:val="24"/>
                <w:szCs w:val="24"/>
              </w:rPr>
            </w:pPr>
            <w:r w:rsidRPr="0099418A">
              <w:rPr>
                <w:sz w:val="24"/>
                <w:szCs w:val="24"/>
              </w:rPr>
              <w:t>Лот №12</w:t>
            </w:r>
            <w:r>
              <w:rPr>
                <w:sz w:val="24"/>
                <w:szCs w:val="24"/>
              </w:rPr>
              <w:t xml:space="preserve"> </w:t>
            </w:r>
            <w:r w:rsidRPr="0099418A">
              <w:rPr>
                <w:sz w:val="24"/>
                <w:szCs w:val="24"/>
              </w:rPr>
              <w:t>–</w:t>
            </w:r>
            <w:r>
              <w:rPr>
                <w:sz w:val="24"/>
                <w:szCs w:val="24"/>
              </w:rPr>
              <w:t xml:space="preserve"> </w:t>
            </w:r>
            <w:r w:rsidRPr="0099418A">
              <w:rPr>
                <w:sz w:val="24"/>
                <w:szCs w:val="24"/>
              </w:rPr>
              <w:t>2 857 500 (два миллиона восемьсот пятьдесят семь тысяч пятьсот) долларов США 00 центов с учетом всех налогов (кроме НДС).</w:t>
            </w:r>
          </w:p>
          <w:p w14:paraId="312CA416" w14:textId="43B09E40" w:rsidR="0099418A" w:rsidRPr="0099418A" w:rsidRDefault="0099418A" w:rsidP="0099418A">
            <w:pPr>
              <w:pStyle w:val="10"/>
              <w:rPr>
                <w:sz w:val="24"/>
                <w:szCs w:val="24"/>
              </w:rPr>
            </w:pPr>
            <w:r w:rsidRPr="0099418A">
              <w:rPr>
                <w:sz w:val="24"/>
                <w:szCs w:val="24"/>
              </w:rPr>
              <w:t>Лот №13</w:t>
            </w:r>
            <w:r>
              <w:rPr>
                <w:sz w:val="24"/>
                <w:szCs w:val="24"/>
              </w:rPr>
              <w:t xml:space="preserve"> </w:t>
            </w:r>
            <w:r w:rsidRPr="0099418A">
              <w:rPr>
                <w:sz w:val="24"/>
                <w:szCs w:val="24"/>
              </w:rPr>
              <w:t>–</w:t>
            </w:r>
            <w:r>
              <w:rPr>
                <w:sz w:val="24"/>
                <w:szCs w:val="24"/>
              </w:rPr>
              <w:t xml:space="preserve"> </w:t>
            </w:r>
            <w:r w:rsidRPr="0099418A">
              <w:rPr>
                <w:sz w:val="24"/>
                <w:szCs w:val="24"/>
              </w:rPr>
              <w:t>3 175 000 (три миллиона сто семьдесят пять тысяч) долларов США 00 центов с учетом всех налогов (кроме НДС).</w:t>
            </w:r>
          </w:p>
          <w:p w14:paraId="189FABAC" w14:textId="34F5EC04" w:rsidR="0099418A" w:rsidRPr="0099418A" w:rsidRDefault="0099418A" w:rsidP="0099418A">
            <w:pPr>
              <w:pStyle w:val="10"/>
              <w:rPr>
                <w:sz w:val="24"/>
                <w:szCs w:val="24"/>
              </w:rPr>
            </w:pPr>
            <w:r w:rsidRPr="0099418A">
              <w:rPr>
                <w:sz w:val="24"/>
                <w:szCs w:val="24"/>
              </w:rPr>
              <w:t>Лот №14</w:t>
            </w:r>
            <w:r>
              <w:rPr>
                <w:sz w:val="24"/>
                <w:szCs w:val="24"/>
              </w:rPr>
              <w:t xml:space="preserve"> </w:t>
            </w:r>
            <w:r w:rsidRPr="0099418A">
              <w:rPr>
                <w:sz w:val="24"/>
                <w:szCs w:val="24"/>
              </w:rPr>
              <w:t>–</w:t>
            </w:r>
            <w:r>
              <w:rPr>
                <w:sz w:val="24"/>
                <w:szCs w:val="24"/>
              </w:rPr>
              <w:t xml:space="preserve"> </w:t>
            </w:r>
            <w:r w:rsidRPr="0099418A">
              <w:rPr>
                <w:sz w:val="24"/>
                <w:szCs w:val="24"/>
              </w:rPr>
              <w:t>3 175 000 (три миллиона сто семьдесят пять тысяч) долларов США 00 центов с учетом всех налогов (кроме НДС).</w:t>
            </w:r>
          </w:p>
          <w:p w14:paraId="4089AA7E" w14:textId="278174DC" w:rsidR="0099418A" w:rsidRPr="0099418A" w:rsidRDefault="0099418A" w:rsidP="0099418A">
            <w:pPr>
              <w:pStyle w:val="10"/>
              <w:rPr>
                <w:sz w:val="24"/>
                <w:szCs w:val="24"/>
              </w:rPr>
            </w:pPr>
            <w:r w:rsidRPr="0099418A">
              <w:rPr>
                <w:sz w:val="24"/>
                <w:szCs w:val="24"/>
              </w:rPr>
              <w:t>Лот №15</w:t>
            </w:r>
            <w:r>
              <w:rPr>
                <w:sz w:val="24"/>
                <w:szCs w:val="24"/>
              </w:rPr>
              <w:t xml:space="preserve"> </w:t>
            </w:r>
            <w:r w:rsidRPr="0099418A">
              <w:rPr>
                <w:sz w:val="24"/>
                <w:szCs w:val="24"/>
              </w:rPr>
              <w:t>–</w:t>
            </w:r>
            <w:r>
              <w:rPr>
                <w:sz w:val="24"/>
                <w:szCs w:val="24"/>
              </w:rPr>
              <w:t xml:space="preserve"> </w:t>
            </w:r>
            <w:r w:rsidRPr="0099418A">
              <w:rPr>
                <w:sz w:val="24"/>
                <w:szCs w:val="24"/>
              </w:rPr>
              <w:t>3 175 000 (три миллиона сто семьдесят пять тысяч) долларов США 00 центов с учетом всех налогов (кроме НДС).</w:t>
            </w:r>
          </w:p>
          <w:p w14:paraId="7C5E88C6" w14:textId="6629648B" w:rsidR="0099418A" w:rsidRPr="0099418A" w:rsidRDefault="0099418A" w:rsidP="0099418A">
            <w:pPr>
              <w:pStyle w:val="10"/>
              <w:rPr>
                <w:sz w:val="24"/>
                <w:szCs w:val="24"/>
              </w:rPr>
            </w:pPr>
            <w:r w:rsidRPr="0099418A">
              <w:rPr>
                <w:sz w:val="24"/>
                <w:szCs w:val="24"/>
              </w:rPr>
              <w:t>Лот №16</w:t>
            </w:r>
            <w:r>
              <w:rPr>
                <w:sz w:val="24"/>
                <w:szCs w:val="24"/>
              </w:rPr>
              <w:t xml:space="preserve"> </w:t>
            </w:r>
            <w:r w:rsidRPr="0099418A">
              <w:rPr>
                <w:sz w:val="24"/>
                <w:szCs w:val="24"/>
              </w:rPr>
              <w:t>–</w:t>
            </w:r>
            <w:r>
              <w:rPr>
                <w:sz w:val="24"/>
                <w:szCs w:val="24"/>
              </w:rPr>
              <w:t xml:space="preserve"> </w:t>
            </w:r>
            <w:r w:rsidRPr="0099418A">
              <w:rPr>
                <w:sz w:val="24"/>
                <w:szCs w:val="24"/>
              </w:rPr>
              <w:t>3 175 000 (три миллиона сто семьдесят пять тысяч) долларов США 00 центов с учетом всех налогов (кроме НДС).</w:t>
            </w:r>
          </w:p>
          <w:p w14:paraId="51B20E70" w14:textId="599136FD" w:rsidR="0099418A" w:rsidRPr="0099418A" w:rsidRDefault="0099418A" w:rsidP="0099418A">
            <w:pPr>
              <w:pStyle w:val="10"/>
              <w:rPr>
                <w:sz w:val="24"/>
                <w:szCs w:val="24"/>
              </w:rPr>
            </w:pPr>
            <w:r w:rsidRPr="0099418A">
              <w:rPr>
                <w:sz w:val="24"/>
                <w:szCs w:val="24"/>
              </w:rPr>
              <w:t>Лот №17</w:t>
            </w:r>
            <w:r>
              <w:rPr>
                <w:sz w:val="24"/>
                <w:szCs w:val="24"/>
              </w:rPr>
              <w:t xml:space="preserve"> </w:t>
            </w:r>
            <w:r w:rsidRPr="0099418A">
              <w:rPr>
                <w:sz w:val="24"/>
                <w:szCs w:val="24"/>
              </w:rPr>
              <w:t>–</w:t>
            </w:r>
            <w:r>
              <w:rPr>
                <w:sz w:val="24"/>
                <w:szCs w:val="24"/>
              </w:rPr>
              <w:t xml:space="preserve"> </w:t>
            </w:r>
            <w:r w:rsidRPr="0099418A">
              <w:rPr>
                <w:sz w:val="24"/>
                <w:szCs w:val="24"/>
              </w:rPr>
              <w:t>3 175 000 (три миллиона сто семьдесят пять тысяч) долларов США 00 центов с учетом всех налогов (кроме НДС).</w:t>
            </w:r>
          </w:p>
          <w:p w14:paraId="36E0B7EE" w14:textId="77777777" w:rsidR="0099418A" w:rsidRPr="0099418A" w:rsidRDefault="0099418A" w:rsidP="0099418A">
            <w:pPr>
              <w:pStyle w:val="10"/>
              <w:rPr>
                <w:sz w:val="24"/>
                <w:szCs w:val="24"/>
              </w:rPr>
            </w:pPr>
          </w:p>
          <w:p w14:paraId="72772A22" w14:textId="04735DAE" w:rsidR="0099418A" w:rsidRDefault="0099418A" w:rsidP="0099418A">
            <w:pPr>
              <w:pStyle w:val="10"/>
              <w:ind w:firstLine="0"/>
              <w:rPr>
                <w:i/>
                <w:sz w:val="24"/>
                <w:szCs w:val="24"/>
              </w:rPr>
            </w:pPr>
            <w:r w:rsidRPr="0099418A">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хранения изготовленных контейнеров в течение срока, указанного в строке 8 финансово-коммерческого предложения,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sz w:val="24"/>
                <w:szCs w:val="24"/>
              </w:rPr>
              <w:t>.</w:t>
            </w:r>
          </w:p>
        </w:tc>
      </w:tr>
      <w:tr w:rsidR="0099418A" w14:paraId="556EDBCE" w14:textId="77777777" w:rsidTr="004B2C6E">
        <w:tc>
          <w:tcPr>
            <w:tcW w:w="426" w:type="dxa"/>
          </w:tcPr>
          <w:p w14:paraId="2047CAF4" w14:textId="2378E169" w:rsidR="0099418A" w:rsidRDefault="0099418A" w:rsidP="0099418A">
            <w:pPr>
              <w:pStyle w:val="10"/>
              <w:ind w:left="-57" w:right="-108" w:firstLine="0"/>
              <w:rPr>
                <w:b/>
                <w:sz w:val="24"/>
                <w:szCs w:val="24"/>
              </w:rPr>
            </w:pPr>
            <w:r>
              <w:rPr>
                <w:b/>
                <w:sz w:val="24"/>
                <w:szCs w:val="24"/>
              </w:rPr>
              <w:lastRenderedPageBreak/>
              <w:t>13.</w:t>
            </w:r>
          </w:p>
        </w:tc>
        <w:tc>
          <w:tcPr>
            <w:tcW w:w="2126" w:type="dxa"/>
          </w:tcPr>
          <w:p w14:paraId="7D41B2ED" w14:textId="37782638" w:rsidR="0099418A" w:rsidRDefault="0099418A" w:rsidP="0099418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4C0ABAD" w14:textId="77777777" w:rsidR="004F642E" w:rsidRPr="004F642E" w:rsidRDefault="004F642E" w:rsidP="004F642E">
            <w:pPr>
              <w:pStyle w:val="10"/>
              <w:rPr>
                <w:sz w:val="24"/>
                <w:szCs w:val="24"/>
              </w:rPr>
            </w:pPr>
            <w:r w:rsidRPr="004F642E">
              <w:rPr>
                <w:sz w:val="24"/>
                <w:szCs w:val="24"/>
              </w:rPr>
              <w:t xml:space="preserve">Для лотов №№1-17: </w:t>
            </w:r>
          </w:p>
          <w:p w14:paraId="2E86F233" w14:textId="77777777" w:rsidR="004F642E" w:rsidRPr="004F642E" w:rsidRDefault="004F642E" w:rsidP="004F642E">
            <w:pPr>
              <w:pStyle w:val="10"/>
              <w:rPr>
                <w:sz w:val="24"/>
                <w:szCs w:val="24"/>
              </w:rPr>
            </w:pPr>
            <w:r w:rsidRPr="004F642E">
              <w:rPr>
                <w:sz w:val="24"/>
                <w:szCs w:val="24"/>
              </w:rPr>
              <w:t xml:space="preserve">- 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 </w:t>
            </w:r>
          </w:p>
          <w:p w14:paraId="0A066D04" w14:textId="77777777" w:rsidR="004F642E" w:rsidRPr="004F642E" w:rsidRDefault="004F642E" w:rsidP="004F642E">
            <w:pPr>
              <w:pStyle w:val="10"/>
              <w:rPr>
                <w:sz w:val="24"/>
                <w:szCs w:val="24"/>
              </w:rPr>
            </w:pPr>
            <w:r w:rsidRPr="004F642E">
              <w:rPr>
                <w:sz w:val="24"/>
                <w:szCs w:val="24"/>
              </w:rPr>
              <w:t xml:space="preserve">- второй авансовый платеж в размере 85 % от цены договора осуществляется в течение 5 (пять) рабочих дней после оформления технической инспекции и осмотра изготовленных контейнеров в месте, указанном в столбце 4 таблицы пункта 4.1.1 Технического задания, или на территории завода-изготовителя; </w:t>
            </w:r>
          </w:p>
          <w:p w14:paraId="3390E7CE" w14:textId="77777777" w:rsidR="004F642E" w:rsidRPr="004F642E" w:rsidRDefault="004F642E" w:rsidP="004F642E">
            <w:pPr>
              <w:pStyle w:val="10"/>
              <w:rPr>
                <w:sz w:val="24"/>
                <w:szCs w:val="24"/>
              </w:rPr>
            </w:pPr>
            <w:r w:rsidRPr="004F642E">
              <w:rPr>
                <w:sz w:val="24"/>
                <w:szCs w:val="24"/>
              </w:rPr>
              <w:t>-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w:t>
            </w:r>
          </w:p>
          <w:p w14:paraId="5C7A2874" w14:textId="591989E6" w:rsidR="0099418A" w:rsidRPr="0099418A" w:rsidRDefault="004F642E" w:rsidP="004F642E">
            <w:pPr>
              <w:pStyle w:val="10"/>
              <w:rPr>
                <w:sz w:val="24"/>
                <w:szCs w:val="24"/>
              </w:rPr>
            </w:pPr>
            <w:r w:rsidRPr="004F642E">
              <w:rPr>
                <w:sz w:val="24"/>
                <w:szCs w:val="24"/>
              </w:rPr>
              <w:t xml:space="preserve">Оплата Товара осуществляется в рублях Российской Федерации по курсу ЦБ РФ на дату платежа, но не превышающему </w:t>
            </w:r>
            <w:r w:rsidRPr="004F642E">
              <w:rPr>
                <w:sz w:val="24"/>
                <w:szCs w:val="24"/>
              </w:rPr>
              <w:lastRenderedPageBreak/>
              <w:t>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p>
        </w:tc>
      </w:tr>
    </w:tbl>
    <w:p w14:paraId="01BA2A18" w14:textId="1254FBF7" w:rsidR="0099418A" w:rsidRPr="007A307E"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p w14:paraId="252E9B34" w14:textId="77777777" w:rsidR="007A307E" w:rsidRDefault="007A307E" w:rsidP="00150628">
      <w:pPr>
        <w:pStyle w:val="10"/>
        <w:ind w:firstLine="709"/>
        <w:rPr>
          <w:sz w:val="24"/>
          <w:szCs w:val="24"/>
        </w:rPr>
      </w:pPr>
    </w:p>
    <w:p w14:paraId="7439EE86" w14:textId="27D2F679" w:rsidR="00150628" w:rsidRDefault="004F642E" w:rsidP="004F642E">
      <w:pPr>
        <w:pStyle w:val="10"/>
        <w:numPr>
          <w:ilvl w:val="1"/>
          <w:numId w:val="10"/>
        </w:numPr>
        <w:ind w:left="0" w:firstLine="568"/>
        <w:rPr>
          <w:szCs w:val="28"/>
        </w:rPr>
      </w:pPr>
      <w:r>
        <w:rPr>
          <w:szCs w:val="28"/>
        </w:rPr>
        <w:t>Подпункт 2.2 пункта 2 Приложения</w:t>
      </w:r>
      <w:r w:rsidR="00150628" w:rsidRPr="00150628">
        <w:rPr>
          <w:szCs w:val="28"/>
        </w:rPr>
        <w:t xml:space="preserve"> № 4</w:t>
      </w:r>
      <w:r w:rsidR="00150628">
        <w:rPr>
          <w:szCs w:val="28"/>
        </w:rPr>
        <w:t xml:space="preserve"> </w:t>
      </w:r>
      <w:r w:rsidR="00150628" w:rsidRPr="00150628">
        <w:rPr>
          <w:szCs w:val="28"/>
        </w:rPr>
        <w:t>документации о закупке</w:t>
      </w:r>
      <w:r w:rsidR="00150628">
        <w:rPr>
          <w:szCs w:val="28"/>
        </w:rPr>
        <w:t xml:space="preserve"> </w:t>
      </w:r>
      <w:r>
        <w:rPr>
          <w:szCs w:val="28"/>
        </w:rPr>
        <w:t>(</w:t>
      </w:r>
      <w:r w:rsidR="00150628">
        <w:rPr>
          <w:szCs w:val="28"/>
        </w:rPr>
        <w:t>Проекта договора</w:t>
      </w:r>
      <w:r>
        <w:rPr>
          <w:szCs w:val="28"/>
        </w:rPr>
        <w:t>)</w:t>
      </w:r>
      <w:r w:rsidR="00150628">
        <w:rPr>
          <w:szCs w:val="28"/>
        </w:rPr>
        <w:t xml:space="preserve"> изложить в следующей редакции: </w:t>
      </w:r>
    </w:p>
    <w:p w14:paraId="63463F92" w14:textId="4D82B59E" w:rsidR="004F642E" w:rsidRDefault="004F642E" w:rsidP="004F642E">
      <w:pPr>
        <w:pStyle w:val="10"/>
        <w:ind w:left="709" w:firstLine="707"/>
        <w:rPr>
          <w:szCs w:val="28"/>
        </w:rPr>
      </w:pPr>
      <w:r>
        <w:rPr>
          <w:szCs w:val="28"/>
        </w:rPr>
        <w:t>«</w:t>
      </w: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484"/>
      </w:tblGrid>
      <w:tr w:rsidR="00150628" w:rsidRPr="00150628" w14:paraId="4E84DE12" w14:textId="77777777" w:rsidTr="00150628">
        <w:tc>
          <w:tcPr>
            <w:tcW w:w="4923" w:type="dxa"/>
          </w:tcPr>
          <w:p w14:paraId="7C529CCB" w14:textId="68370D68" w:rsidR="004F642E" w:rsidRDefault="004F642E" w:rsidP="004F642E">
            <w:pPr>
              <w:ind w:left="146" w:right="176" w:firstLine="214"/>
              <w:jc w:val="both"/>
              <w:rPr>
                <w:rFonts w:ascii="Times New Roman" w:hAnsi="Times New Roman" w:cs="Times New Roman"/>
                <w:sz w:val="28"/>
                <w:szCs w:val="28"/>
                <w:lang w:val="en-US"/>
              </w:rPr>
            </w:pPr>
            <w:r w:rsidRPr="004F642E">
              <w:rPr>
                <w:rFonts w:ascii="Times New Roman" w:hAnsi="Times New Roman" w:cs="Times New Roman"/>
                <w:sz w:val="28"/>
                <w:szCs w:val="28"/>
                <w:lang w:val="en-US"/>
              </w:rPr>
              <w:t>2.2. Terms of payment:</w:t>
            </w:r>
          </w:p>
          <w:p w14:paraId="3EBD5C10" w14:textId="5E479CAE"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 xml:space="preserve">- Advance payment 10% of the total amount shall </w:t>
            </w:r>
            <w:proofErr w:type="spellStart"/>
            <w:r w:rsidRPr="00150628">
              <w:rPr>
                <w:rFonts w:ascii="Times New Roman" w:hAnsi="Times New Roman" w:cs="Times New Roman"/>
                <w:sz w:val="28"/>
                <w:szCs w:val="28"/>
                <w:lang w:val="en-US"/>
              </w:rPr>
              <w:t>by</w:t>
            </w:r>
            <w:proofErr w:type="spellEnd"/>
            <w:r w:rsidRPr="00150628">
              <w:rPr>
                <w:rFonts w:ascii="Times New Roman" w:hAnsi="Times New Roman" w:cs="Times New Roman"/>
                <w:sz w:val="28"/>
                <w:szCs w:val="28"/>
                <w:lang w:val="en-US"/>
              </w:rPr>
              <w:t xml:space="preserve"> made during ten (10) business days from the date of presentation of the bank warranty by the Supplier for return of the mentioned advance payment;</w:t>
            </w:r>
          </w:p>
          <w:p w14:paraId="01819C38" w14:textId="77777777"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Applying and issuing procedures of bank guarantee (including all commissions) is on Supplier's charge.</w:t>
            </w:r>
          </w:p>
          <w:p w14:paraId="6452D1FB" w14:textId="77777777"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The bank guarantee is preliminarily negotiated with the customer.</w:t>
            </w:r>
          </w:p>
          <w:p w14:paraId="584E6885" w14:textId="77777777" w:rsidR="00150628" w:rsidRPr="00150628" w:rsidRDefault="00150628" w:rsidP="004F642E">
            <w:pPr>
              <w:ind w:left="146" w:right="176" w:firstLine="214"/>
              <w:jc w:val="both"/>
              <w:rPr>
                <w:rFonts w:ascii="Times New Roman" w:hAnsi="Times New Roman" w:cs="Times New Roman"/>
                <w:sz w:val="28"/>
                <w:szCs w:val="28"/>
                <w:lang w:val="en-US"/>
              </w:rPr>
            </w:pPr>
          </w:p>
          <w:p w14:paraId="530C8F8E" w14:textId="77777777"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 Second advance payment - 85% of the total amount shall be made during five (5) business days after technical inspection and inspection of produced containers or at the premises of the manufacturer.</w:t>
            </w:r>
          </w:p>
          <w:p w14:paraId="23EC213D" w14:textId="230F529D"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 xml:space="preserve">- final payment - 5 % of the total amount shall be made during five (5) business days after signing </w:t>
            </w:r>
            <w:r w:rsidR="001534F7" w:rsidRPr="00150628">
              <w:rPr>
                <w:rFonts w:ascii="Times New Roman" w:hAnsi="Times New Roman" w:cs="Times New Roman"/>
                <w:sz w:val="28"/>
                <w:szCs w:val="28"/>
                <w:lang w:val="en-US"/>
              </w:rPr>
              <w:t>of the</w:t>
            </w:r>
            <w:r w:rsidR="001534F7" w:rsidRPr="001534F7">
              <w:rPr>
                <w:rFonts w:ascii="Times New Roman" w:hAnsi="Times New Roman" w:cs="Times New Roman"/>
                <w:sz w:val="28"/>
                <w:szCs w:val="28"/>
                <w:lang w:val="en-US"/>
              </w:rPr>
              <w:t xml:space="preserve"> </w:t>
            </w:r>
            <w:r w:rsidRPr="00150628">
              <w:rPr>
                <w:rFonts w:ascii="Times New Roman" w:hAnsi="Times New Roman" w:cs="Times New Roman"/>
                <w:sz w:val="28"/>
                <w:szCs w:val="28"/>
                <w:lang w:val="en-US"/>
              </w:rPr>
              <w:t xml:space="preserve">Delivery-Acceptance Certificate of containers at the place of delivery indicated in paragraph 2.1 hereof. </w:t>
            </w:r>
          </w:p>
          <w:p w14:paraId="34C3F528" w14:textId="77777777" w:rsidR="00150628" w:rsidRPr="00150628" w:rsidRDefault="00150628" w:rsidP="004F642E">
            <w:pPr>
              <w:ind w:left="146" w:right="176" w:firstLine="214"/>
              <w:jc w:val="both"/>
              <w:rPr>
                <w:rFonts w:ascii="Times New Roman" w:eastAsia="SimSun" w:hAnsi="Times New Roman" w:cs="Times New Roman"/>
                <w:sz w:val="28"/>
                <w:szCs w:val="28"/>
                <w:lang w:val="en-US" w:eastAsia="zh-CN"/>
              </w:rPr>
            </w:pPr>
            <w:r w:rsidRPr="00150628">
              <w:rPr>
                <w:rFonts w:ascii="Times New Roman" w:hAnsi="Times New Roman" w:cs="Times New Roman"/>
                <w:sz w:val="28"/>
                <w:szCs w:val="28"/>
                <w:lang w:val="en-US"/>
              </w:rPr>
              <w:t xml:space="preserve">All the payments of the monetary funds, indicated in the present paragraph, shall be made on the basis of invoices issued by the Supplier by means of bank transfer to the Supplier’s account. </w:t>
            </w:r>
          </w:p>
          <w:p w14:paraId="5CA0CAC2" w14:textId="77777777"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lastRenderedPageBreak/>
              <w:t xml:space="preserve">Payment for the Goods is carried out in rubles of the Russian Federation at the exchange rate of the Central Bank of the Russian Federation on the date of payment, but not exceeding by more than 10% the rate established by the Central Bank of the Russian Federation on the date of conclusion of the contract. If the supplier is not a resident of the Russian Federation, Payment can be made in US dollars.  </w:t>
            </w:r>
          </w:p>
          <w:p w14:paraId="25E50EFC" w14:textId="77777777" w:rsidR="00150628" w:rsidRDefault="00150628" w:rsidP="004F642E">
            <w:pPr>
              <w:ind w:left="146" w:right="176" w:firstLine="214"/>
              <w:jc w:val="both"/>
              <w:rPr>
                <w:rFonts w:ascii="Times New Roman" w:hAnsi="Times New Roman" w:cs="Times New Roman"/>
                <w:sz w:val="28"/>
                <w:szCs w:val="28"/>
                <w:lang w:val="en-US"/>
              </w:rPr>
            </w:pPr>
          </w:p>
          <w:p w14:paraId="1F8F5C68" w14:textId="389ACE31" w:rsidR="00150628" w:rsidRPr="00150628" w:rsidRDefault="00150628" w:rsidP="004F642E">
            <w:pPr>
              <w:ind w:left="146" w:right="176" w:firstLine="214"/>
              <w:jc w:val="both"/>
              <w:rPr>
                <w:rFonts w:ascii="Times New Roman" w:hAnsi="Times New Roman" w:cs="Times New Roman"/>
                <w:sz w:val="28"/>
                <w:szCs w:val="28"/>
                <w:lang w:val="en-US"/>
              </w:rPr>
            </w:pPr>
            <w:r w:rsidRPr="00150628">
              <w:rPr>
                <w:rFonts w:ascii="Times New Roman" w:hAnsi="Times New Roman" w:cs="Times New Roman"/>
                <w:sz w:val="28"/>
                <w:szCs w:val="28"/>
                <w:lang w:val="en-US"/>
              </w:rPr>
              <w:t>Bank name:</w:t>
            </w:r>
          </w:p>
          <w:p w14:paraId="59D8B2C8" w14:textId="02BDDEA4" w:rsidR="00150628" w:rsidRPr="004F642E" w:rsidRDefault="004F642E" w:rsidP="004F642E">
            <w:pPr>
              <w:pStyle w:val="ac"/>
              <w:ind w:left="146" w:right="176" w:firstLine="214"/>
              <w:jc w:val="both"/>
              <w:rPr>
                <w:rFonts w:ascii="Times New Roman" w:hAnsi="Times New Roman" w:cs="Times New Roman"/>
                <w:sz w:val="28"/>
                <w:szCs w:val="28"/>
              </w:rPr>
            </w:pPr>
            <w:r>
              <w:rPr>
                <w:rFonts w:ascii="Times New Roman" w:hAnsi="Times New Roman" w:cs="Times New Roman"/>
                <w:sz w:val="28"/>
                <w:szCs w:val="28"/>
              </w:rPr>
              <w:t>»</w:t>
            </w:r>
          </w:p>
          <w:p w14:paraId="425FD299" w14:textId="77777777" w:rsidR="00150628" w:rsidRPr="00150628" w:rsidRDefault="00150628" w:rsidP="004F642E">
            <w:pPr>
              <w:pStyle w:val="10"/>
              <w:ind w:left="146" w:firstLine="214"/>
              <w:rPr>
                <w:szCs w:val="28"/>
              </w:rPr>
            </w:pPr>
          </w:p>
        </w:tc>
        <w:tc>
          <w:tcPr>
            <w:tcW w:w="4924" w:type="dxa"/>
          </w:tcPr>
          <w:p w14:paraId="1C47CA28" w14:textId="77777777" w:rsidR="004F642E" w:rsidRDefault="004F642E" w:rsidP="00150628">
            <w:pPr>
              <w:tabs>
                <w:tab w:val="left" w:pos="5313"/>
              </w:tabs>
              <w:ind w:right="175"/>
              <w:jc w:val="both"/>
              <w:rPr>
                <w:rFonts w:ascii="Times New Roman" w:hAnsi="Times New Roman" w:cs="Times New Roman"/>
                <w:sz w:val="28"/>
                <w:szCs w:val="28"/>
              </w:rPr>
            </w:pPr>
            <w:r w:rsidRPr="004F642E">
              <w:rPr>
                <w:rFonts w:ascii="Times New Roman" w:hAnsi="Times New Roman" w:cs="Times New Roman"/>
                <w:sz w:val="28"/>
                <w:szCs w:val="28"/>
              </w:rPr>
              <w:lastRenderedPageBreak/>
              <w:t xml:space="preserve">2.2. Условия оплаты: </w:t>
            </w:r>
          </w:p>
          <w:p w14:paraId="2128A93D" w14:textId="59834701"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 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14:paraId="2FF13CA3" w14:textId="77777777"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Оформление банковской гарантии (включая все комиссии) за счет поставщика.</w:t>
            </w:r>
          </w:p>
          <w:p w14:paraId="54B00AE3" w14:textId="77777777" w:rsidR="00150628" w:rsidRPr="00150628" w:rsidRDefault="00150628" w:rsidP="00150628">
            <w:pPr>
              <w:ind w:firstLine="170"/>
              <w:rPr>
                <w:rFonts w:ascii="Times New Roman" w:hAnsi="Times New Roman" w:cs="Times New Roman"/>
                <w:sz w:val="28"/>
                <w:szCs w:val="28"/>
              </w:rPr>
            </w:pPr>
            <w:r w:rsidRPr="00150628">
              <w:rPr>
                <w:rFonts w:ascii="Times New Roman" w:hAnsi="Times New Roman" w:cs="Times New Roman"/>
                <w:sz w:val="28"/>
                <w:szCs w:val="28"/>
              </w:rPr>
              <w:t xml:space="preserve">Банковская гарантия предварительно согласовывается с заказчиком. </w:t>
            </w:r>
          </w:p>
          <w:p w14:paraId="009E7FDC" w14:textId="77777777" w:rsidR="00150628" w:rsidRPr="00150628" w:rsidRDefault="00150628" w:rsidP="00150628">
            <w:pPr>
              <w:tabs>
                <w:tab w:val="left" w:pos="5313"/>
              </w:tabs>
              <w:ind w:right="175"/>
              <w:jc w:val="both"/>
              <w:rPr>
                <w:rFonts w:ascii="Times New Roman" w:hAnsi="Times New Roman" w:cs="Times New Roman"/>
                <w:sz w:val="28"/>
                <w:szCs w:val="28"/>
              </w:rPr>
            </w:pPr>
          </w:p>
          <w:p w14:paraId="5B9BC2C8" w14:textId="77777777"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 второй авансовый платеж в размере 85 % от цены договора осуществляется в течение 5 (пять) рабочих дней после оформления технической инспекции и осмотра изготовленных контейнеров;</w:t>
            </w:r>
          </w:p>
          <w:p w14:paraId="018C64C7" w14:textId="31218855"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 xml:space="preserve">- окончательный платеж в размере 5 % от цены договора осуществляется в течение </w:t>
            </w:r>
            <w:r w:rsidR="001534F7" w:rsidRPr="00150628">
              <w:rPr>
                <w:rFonts w:ascii="Times New Roman" w:hAnsi="Times New Roman" w:cs="Times New Roman"/>
                <w:sz w:val="28"/>
                <w:szCs w:val="28"/>
              </w:rPr>
              <w:t>5 (</w:t>
            </w:r>
            <w:r w:rsidRPr="00150628">
              <w:rPr>
                <w:rFonts w:ascii="Times New Roman" w:hAnsi="Times New Roman" w:cs="Times New Roman"/>
                <w:sz w:val="28"/>
                <w:szCs w:val="28"/>
              </w:rPr>
              <w:t>пять) рабочих дней по факту подписания акта приема-передачи контейнеров в месте поставки, указанном в пункте 2.1 настоящего Договора.</w:t>
            </w:r>
          </w:p>
          <w:p w14:paraId="0202D760" w14:textId="77777777"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 xml:space="preserve">Все выплаты денежных средств, указанные в данном пункте, осуществляются на основании счетов, выставленных Поставщиком, посредством </w:t>
            </w:r>
            <w:r w:rsidRPr="00150628">
              <w:rPr>
                <w:rFonts w:ascii="Times New Roman" w:hAnsi="Times New Roman" w:cs="Times New Roman"/>
                <w:sz w:val="28"/>
                <w:szCs w:val="28"/>
              </w:rPr>
              <w:lastRenderedPageBreak/>
              <w:t xml:space="preserve">банковского перевода на счет Поставщика. </w:t>
            </w:r>
          </w:p>
          <w:p w14:paraId="420D3061" w14:textId="77777777" w:rsidR="00150628" w:rsidRPr="00150628" w:rsidRDefault="00150628" w:rsidP="00150628">
            <w:pPr>
              <w:tabs>
                <w:tab w:val="left" w:pos="5313"/>
              </w:tabs>
              <w:ind w:right="175"/>
              <w:jc w:val="both"/>
              <w:rPr>
                <w:rFonts w:ascii="Times New Roman" w:hAnsi="Times New Roman" w:cs="Times New Roman"/>
                <w:sz w:val="28"/>
                <w:szCs w:val="28"/>
              </w:rPr>
            </w:pPr>
          </w:p>
          <w:p w14:paraId="0F05C88D" w14:textId="77777777" w:rsidR="00150628" w:rsidRPr="00150628" w:rsidRDefault="00150628" w:rsidP="00150628">
            <w:pPr>
              <w:tabs>
                <w:tab w:val="left" w:pos="5313"/>
              </w:tabs>
              <w:ind w:right="175"/>
              <w:jc w:val="both"/>
              <w:rPr>
                <w:rFonts w:ascii="Times New Roman" w:hAnsi="Times New Roman" w:cs="Times New Roman"/>
                <w:sz w:val="28"/>
                <w:szCs w:val="28"/>
              </w:rPr>
            </w:pPr>
            <w:r w:rsidRPr="00150628">
              <w:rPr>
                <w:rFonts w:ascii="Times New Roman" w:hAnsi="Times New Roman" w:cs="Times New Roman"/>
                <w:sz w:val="28"/>
                <w:szCs w:val="28"/>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долларах США.</w:t>
            </w:r>
          </w:p>
          <w:p w14:paraId="6CA97B91" w14:textId="77777777" w:rsidR="00150628" w:rsidRPr="00150628" w:rsidRDefault="00150628" w:rsidP="00150628">
            <w:pPr>
              <w:tabs>
                <w:tab w:val="left" w:pos="5313"/>
              </w:tabs>
              <w:ind w:right="175"/>
              <w:jc w:val="both"/>
              <w:rPr>
                <w:rFonts w:ascii="Times New Roman" w:hAnsi="Times New Roman" w:cs="Times New Roman"/>
                <w:sz w:val="28"/>
                <w:szCs w:val="28"/>
              </w:rPr>
            </w:pPr>
          </w:p>
          <w:p w14:paraId="6BEB8324" w14:textId="325E7489" w:rsidR="00150628" w:rsidRPr="00150628" w:rsidRDefault="00150628" w:rsidP="00150628">
            <w:pPr>
              <w:tabs>
                <w:tab w:val="left" w:pos="5313"/>
              </w:tabs>
              <w:ind w:right="175"/>
              <w:jc w:val="both"/>
              <w:rPr>
                <w:rFonts w:ascii="Times New Roman" w:hAnsi="Times New Roman" w:cs="Times New Roman"/>
                <w:strike/>
                <w:sz w:val="28"/>
                <w:szCs w:val="28"/>
              </w:rPr>
            </w:pPr>
            <w:r w:rsidRPr="00150628">
              <w:rPr>
                <w:rFonts w:ascii="Times New Roman" w:hAnsi="Times New Roman" w:cs="Times New Roman"/>
                <w:sz w:val="28"/>
                <w:szCs w:val="28"/>
              </w:rPr>
              <w:t xml:space="preserve">Наименование банка: </w:t>
            </w:r>
          </w:p>
          <w:p w14:paraId="711F080D" w14:textId="77777777" w:rsidR="00150628" w:rsidRPr="00150628" w:rsidRDefault="00150628" w:rsidP="00150628">
            <w:pPr>
              <w:pStyle w:val="10"/>
              <w:ind w:firstLine="0"/>
              <w:rPr>
                <w:szCs w:val="28"/>
              </w:rPr>
            </w:pPr>
          </w:p>
        </w:tc>
      </w:tr>
    </w:tbl>
    <w:p w14:paraId="7A1795C1" w14:textId="75159C52" w:rsidR="00CA492F" w:rsidRPr="00150628" w:rsidRDefault="00CA492F" w:rsidP="00150628">
      <w:pPr>
        <w:pStyle w:val="10"/>
        <w:ind w:firstLine="0"/>
        <w:rPr>
          <w:szCs w:val="28"/>
        </w:rPr>
      </w:pPr>
    </w:p>
    <w:p w14:paraId="089D02FD" w14:textId="78ACB66A" w:rsidR="002652E1" w:rsidRPr="001A790B" w:rsidRDefault="002652E1" w:rsidP="001A790B">
      <w:pPr>
        <w:suppressAutoHyphens/>
        <w:rPr>
          <w:rFonts w:ascii="Times New Roman" w:eastAsia="Times New Roman" w:hAnsi="Times New Roman" w:cs="Times New Roman"/>
          <w:sz w:val="26"/>
          <w:szCs w:val="26"/>
          <w:lang w:eastAsia="ar-SA"/>
        </w:rPr>
      </w:pPr>
    </w:p>
    <w:p w14:paraId="772E58CC" w14:textId="77777777"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p>
    <w:p w14:paraId="09B5A896" w14:textId="0A53DF8C"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0F8C57BC"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bookmarkStart w:id="0" w:name="_GoBack"/>
      <w:bookmarkEnd w:id="0"/>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1"/>
        <w:gridCol w:w="3380"/>
      </w:tblGrid>
      <w:tr w:rsidR="00A2371D" w:rsidRPr="00A2371D" w14:paraId="4AC25DDA" w14:textId="77777777" w:rsidTr="00A2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proofErr w:type="spellStart"/>
            <w:r w:rsidRPr="001A790B">
              <w:rPr>
                <w:rFonts w:ascii="Times New Roman" w:eastAsia="Times New Roman" w:hAnsi="Times New Roman"/>
                <w:sz w:val="28"/>
                <w:szCs w:val="28"/>
              </w:rPr>
              <w:t>ТрансКонтейнер</w:t>
            </w:r>
            <w:proofErr w:type="spellEnd"/>
            <w:r w:rsidRPr="001A790B">
              <w:rPr>
                <w:rFonts w:ascii="Times New Roman" w:eastAsia="Times New Roman" w:hAnsi="Times New Roman"/>
                <w:sz w:val="28"/>
                <w:szCs w:val="28"/>
              </w:rPr>
              <w:t>»</w:t>
            </w:r>
          </w:p>
        </w:tc>
        <w:tc>
          <w:tcPr>
            <w:tcW w:w="3649"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150628"/>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DCDBB" w14:textId="77777777" w:rsidR="00BC3F2D" w:rsidRDefault="00BC3F2D" w:rsidP="00D10DC0">
      <w:r>
        <w:separator/>
      </w:r>
    </w:p>
  </w:endnote>
  <w:endnote w:type="continuationSeparator" w:id="0">
    <w:p w14:paraId="5BE56A68" w14:textId="77777777" w:rsidR="00BC3F2D" w:rsidRDefault="00BC3F2D"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35BC" w14:textId="77777777" w:rsidR="00BC3F2D" w:rsidRDefault="00BC3F2D" w:rsidP="00D10DC0">
      <w:r>
        <w:separator/>
      </w:r>
    </w:p>
  </w:footnote>
  <w:footnote w:type="continuationSeparator" w:id="0">
    <w:p w14:paraId="66C1CCE6" w14:textId="77777777" w:rsidR="00BC3F2D" w:rsidRDefault="00BC3F2D" w:rsidP="00D10D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C0"/>
    <w:rsid w:val="0003541F"/>
    <w:rsid w:val="00095708"/>
    <w:rsid w:val="000A710F"/>
    <w:rsid w:val="000B52F7"/>
    <w:rsid w:val="000D5C05"/>
    <w:rsid w:val="000E79F2"/>
    <w:rsid w:val="000F3697"/>
    <w:rsid w:val="0010575A"/>
    <w:rsid w:val="001134F7"/>
    <w:rsid w:val="00141443"/>
    <w:rsid w:val="00150628"/>
    <w:rsid w:val="001534F7"/>
    <w:rsid w:val="00160BB9"/>
    <w:rsid w:val="001A790B"/>
    <w:rsid w:val="001C13A2"/>
    <w:rsid w:val="001D2CE9"/>
    <w:rsid w:val="001E6969"/>
    <w:rsid w:val="00202063"/>
    <w:rsid w:val="002600AB"/>
    <w:rsid w:val="002652E1"/>
    <w:rsid w:val="002A1994"/>
    <w:rsid w:val="002E73BF"/>
    <w:rsid w:val="0030636E"/>
    <w:rsid w:val="00311629"/>
    <w:rsid w:val="00317B6A"/>
    <w:rsid w:val="0032466E"/>
    <w:rsid w:val="003319B7"/>
    <w:rsid w:val="003417AB"/>
    <w:rsid w:val="0035320E"/>
    <w:rsid w:val="00370B19"/>
    <w:rsid w:val="00380853"/>
    <w:rsid w:val="003A51B8"/>
    <w:rsid w:val="003B0AA4"/>
    <w:rsid w:val="00427893"/>
    <w:rsid w:val="004763CD"/>
    <w:rsid w:val="004B5E7E"/>
    <w:rsid w:val="004B5ED2"/>
    <w:rsid w:val="004B6763"/>
    <w:rsid w:val="004C25FC"/>
    <w:rsid w:val="004E1B85"/>
    <w:rsid w:val="004F28F2"/>
    <w:rsid w:val="004F3A0C"/>
    <w:rsid w:val="004F642E"/>
    <w:rsid w:val="004F7FE5"/>
    <w:rsid w:val="00516368"/>
    <w:rsid w:val="00534C78"/>
    <w:rsid w:val="00542824"/>
    <w:rsid w:val="00592146"/>
    <w:rsid w:val="005A66C3"/>
    <w:rsid w:val="005C7297"/>
    <w:rsid w:val="005D705E"/>
    <w:rsid w:val="005F5835"/>
    <w:rsid w:val="00613088"/>
    <w:rsid w:val="00614463"/>
    <w:rsid w:val="0061482E"/>
    <w:rsid w:val="0063757D"/>
    <w:rsid w:val="006822BB"/>
    <w:rsid w:val="006F2CA9"/>
    <w:rsid w:val="006F7F82"/>
    <w:rsid w:val="00723816"/>
    <w:rsid w:val="007254C9"/>
    <w:rsid w:val="00757368"/>
    <w:rsid w:val="00761FA7"/>
    <w:rsid w:val="00776902"/>
    <w:rsid w:val="007A307E"/>
    <w:rsid w:val="007A4D5A"/>
    <w:rsid w:val="007B2399"/>
    <w:rsid w:val="00870037"/>
    <w:rsid w:val="008873FD"/>
    <w:rsid w:val="008A3176"/>
    <w:rsid w:val="008D21BB"/>
    <w:rsid w:val="008F3CD2"/>
    <w:rsid w:val="00916871"/>
    <w:rsid w:val="0095328E"/>
    <w:rsid w:val="00954544"/>
    <w:rsid w:val="0099418A"/>
    <w:rsid w:val="009A48F7"/>
    <w:rsid w:val="009A7AA4"/>
    <w:rsid w:val="009C26DF"/>
    <w:rsid w:val="00A12530"/>
    <w:rsid w:val="00A2371D"/>
    <w:rsid w:val="00A353F5"/>
    <w:rsid w:val="00A62C31"/>
    <w:rsid w:val="00A77340"/>
    <w:rsid w:val="00A87158"/>
    <w:rsid w:val="00A874B4"/>
    <w:rsid w:val="00AA0873"/>
    <w:rsid w:val="00AB5B83"/>
    <w:rsid w:val="00B04E2C"/>
    <w:rsid w:val="00B11AF8"/>
    <w:rsid w:val="00B31B41"/>
    <w:rsid w:val="00B352EF"/>
    <w:rsid w:val="00B90F02"/>
    <w:rsid w:val="00B979AB"/>
    <w:rsid w:val="00BA2029"/>
    <w:rsid w:val="00BB5591"/>
    <w:rsid w:val="00BB7D7B"/>
    <w:rsid w:val="00BC3F2D"/>
    <w:rsid w:val="00BD0253"/>
    <w:rsid w:val="00C044E9"/>
    <w:rsid w:val="00C122E4"/>
    <w:rsid w:val="00C52ACD"/>
    <w:rsid w:val="00CA492F"/>
    <w:rsid w:val="00CE757D"/>
    <w:rsid w:val="00D10DC0"/>
    <w:rsid w:val="00D31B5C"/>
    <w:rsid w:val="00D5504C"/>
    <w:rsid w:val="00D77F37"/>
    <w:rsid w:val="00D8479D"/>
    <w:rsid w:val="00DA2F1A"/>
    <w:rsid w:val="00DB09E1"/>
    <w:rsid w:val="00DB3C70"/>
    <w:rsid w:val="00DB5BE0"/>
    <w:rsid w:val="00DD635C"/>
    <w:rsid w:val="00DD727F"/>
    <w:rsid w:val="00E01753"/>
    <w:rsid w:val="00E24EDA"/>
    <w:rsid w:val="00E27602"/>
    <w:rsid w:val="00E40234"/>
    <w:rsid w:val="00E47144"/>
    <w:rsid w:val="00E810AE"/>
    <w:rsid w:val="00EE1976"/>
    <w:rsid w:val="00EF4BF5"/>
    <w:rsid w:val="00F231B8"/>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0BD17"/>
  <w15:docId w15:val="{A24D8C6C-F534-44B9-8631-21580EC0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0A306E53-52C3-45D7-8A32-0A3727CC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Phtm</cp:lastModifiedBy>
  <cp:revision>2</cp:revision>
  <cp:lastPrinted>2021-03-01T09:41:00Z</cp:lastPrinted>
  <dcterms:created xsi:type="dcterms:W3CDTF">2022-01-26T09:15:00Z</dcterms:created>
  <dcterms:modified xsi:type="dcterms:W3CDTF">2022-01-26T09:15:00Z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