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284AE8">
        <w:rPr>
          <w:b/>
        </w:rPr>
        <w:t>10</w:t>
      </w:r>
      <w:r w:rsidR="004948D5" w:rsidRPr="004948D5">
        <w:rPr>
          <w:b/>
        </w:rPr>
        <w:t>»</w:t>
      </w:r>
      <w:r w:rsidR="00FE063A">
        <w:rPr>
          <w:b/>
        </w:rPr>
        <w:t xml:space="preserve"> </w:t>
      </w:r>
      <w:r w:rsidR="00284AE8">
        <w:rPr>
          <w:b/>
        </w:rPr>
        <w:t>марта</w:t>
      </w:r>
      <w:r w:rsidR="005D257E">
        <w:rPr>
          <w:b/>
        </w:rPr>
        <w:t xml:space="preserve"> </w:t>
      </w:r>
      <w:r w:rsidR="00284AE8">
        <w:rPr>
          <w:b/>
        </w:rPr>
        <w:t>2025</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642D60" w:rsidRPr="00642D60" w:rsidRDefault="006651BA" w:rsidP="00ED4360">
      <w:pPr>
        <w:pStyle w:val="11"/>
        <w:ind w:firstLine="709"/>
        <w:jc w:val="center"/>
        <w:rPr>
          <w:b/>
        </w:rPr>
      </w:pPr>
      <w:proofErr w:type="gramStart"/>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C40DF6" w:rsidRPr="001A58AB">
        <w:rPr>
          <w:b/>
          <w:snapToGrid w:val="0"/>
          <w:color w:val="000000" w:themeColor="text1"/>
          <w:szCs w:val="28"/>
        </w:rPr>
        <w:t>Октябрьской</w:t>
      </w:r>
      <w:r w:rsidR="00860811" w:rsidRPr="001A58AB">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642D60" w:rsidRPr="001A58AB">
        <w:rPr>
          <w:b/>
        </w:rPr>
        <w:t>№ РО-</w:t>
      </w:r>
      <w:r w:rsidR="0048137D">
        <w:rPr>
          <w:b/>
        </w:rPr>
        <w:t>НКПОКТ-24-0007</w:t>
      </w:r>
      <w:r w:rsidR="00642D60" w:rsidRPr="001A58AB">
        <w:rPr>
          <w:b/>
        </w:rPr>
        <w:t xml:space="preserve"> по предмету </w:t>
      </w:r>
      <w:r w:rsidR="00642D60" w:rsidRPr="00591FD3">
        <w:rPr>
          <w:b/>
        </w:rPr>
        <w:t xml:space="preserve">закупки </w:t>
      </w:r>
      <w:r w:rsidR="00ED4360" w:rsidRPr="00ED4360">
        <w:rPr>
          <w:b/>
        </w:rPr>
        <w:t xml:space="preserve">«Выполнение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sidR="00ED4360" w:rsidRPr="00ED4360">
        <w:rPr>
          <w:b/>
        </w:rPr>
        <w:t>ремонтопригодных</w:t>
      </w:r>
      <w:proofErr w:type="spellEnd"/>
      <w:r w:rsidR="00ED4360" w:rsidRPr="00ED4360">
        <w:rPr>
          <w:b/>
        </w:rPr>
        <w:t xml:space="preserve"> деталей к местам ремонта вагонов»</w:t>
      </w:r>
      <w:r w:rsidR="00642D60" w:rsidRPr="001A58AB">
        <w:rPr>
          <w:b/>
        </w:rPr>
        <w:t xml:space="preserve"> </w:t>
      </w:r>
      <w:r w:rsidR="00573A69">
        <w:rPr>
          <w:b/>
        </w:rPr>
        <w:t>(далее – Размещение</w:t>
      </w:r>
      <w:r w:rsidR="00642D60" w:rsidRPr="001A58AB">
        <w:rPr>
          <w:b/>
        </w:rPr>
        <w:t xml:space="preserve"> оферты).</w:t>
      </w:r>
      <w:proofErr w:type="gramEnd"/>
    </w:p>
    <w:p w:rsidR="00EB2080" w:rsidRPr="00404139" w:rsidRDefault="00EB2080" w:rsidP="00404139">
      <w:pPr>
        <w:pStyle w:val="11"/>
        <w:suppressAutoHyphens/>
        <w:ind w:firstLine="0"/>
        <w:jc w:val="center"/>
        <w:rPr>
          <w:b/>
        </w:rPr>
      </w:pPr>
    </w:p>
    <w:p w:rsidR="00EB2080" w:rsidRDefault="00EB2080" w:rsidP="00C40DF6">
      <w:pPr>
        <w:pStyle w:val="11"/>
        <w:suppressAutoHyphens/>
        <w:ind w:firstLine="0"/>
        <w:jc w:val="center"/>
        <w:rPr>
          <w:b/>
        </w:rPr>
      </w:pPr>
    </w:p>
    <w:p w:rsidR="0048137D" w:rsidRDefault="00ED7306" w:rsidP="003565AB">
      <w:pPr>
        <w:shd w:val="clear" w:color="auto" w:fill="FFFFFF"/>
        <w:jc w:val="both"/>
        <w:rPr>
          <w:b/>
        </w:rPr>
      </w:pPr>
      <w:r w:rsidRPr="00DB5A96">
        <w:rPr>
          <w:b/>
        </w:rPr>
        <w:t>1.</w:t>
      </w:r>
      <w:r w:rsidRPr="00DB5A96">
        <w:t xml:space="preserve"> </w:t>
      </w:r>
      <w:r w:rsidR="00284AE8">
        <w:rPr>
          <w:b/>
        </w:rPr>
        <w:t>Пункт 4.11.1 раздела 4 «Техническое задание» документации о закупке изложить в следующей редакции</w:t>
      </w:r>
      <w:r w:rsidR="0048137D">
        <w:rPr>
          <w:b/>
        </w:rPr>
        <w:t>:</w:t>
      </w:r>
    </w:p>
    <w:p w:rsidR="0048137D" w:rsidRDefault="00284AE8" w:rsidP="00B9391E">
      <w:pPr>
        <w:shd w:val="clear" w:color="auto" w:fill="FFFFFF"/>
        <w:jc w:val="both"/>
      </w:pPr>
      <w:r>
        <w:rPr>
          <w:b/>
        </w:rPr>
        <w:t>«</w:t>
      </w:r>
      <w:r>
        <w:rPr>
          <w:rFonts w:eastAsia="Arial"/>
          <w:szCs w:val="28"/>
        </w:rPr>
        <w:t xml:space="preserve">4.11.1. Начальная (максимальная, совокупная) цена договоров по закупке способом Размещения оферты составляет </w:t>
      </w:r>
      <w:r w:rsidRPr="00284AE8">
        <w:rPr>
          <w:rFonts w:eastAsia="Arial"/>
          <w:szCs w:val="28"/>
        </w:rPr>
        <w:t>4 572 500,31 (Четыре миллиона пятьсот семьдесят две тысячи пятьсот) рублей 31 копейка</w:t>
      </w:r>
      <w:r>
        <w:rPr>
          <w:rFonts w:eastAsia="Arial"/>
          <w:b/>
          <w:szCs w:val="28"/>
        </w:rPr>
        <w:t xml:space="preserve"> </w:t>
      </w:r>
      <w:r>
        <w:rPr>
          <w:rFonts w:eastAsia="Arial"/>
          <w:szCs w:val="28"/>
        </w:rPr>
        <w:t xml:space="preserve">с учетом всех налогов (кроме НДС), с учетом всех расходов, связанных с выполнением Работ. Расходы по транспортировке к месту выполнения Работ </w:t>
      </w:r>
      <w:proofErr w:type="gramStart"/>
      <w:r>
        <w:rPr>
          <w:rFonts w:eastAsia="Arial"/>
          <w:szCs w:val="28"/>
        </w:rPr>
        <w:t>от ж</w:t>
      </w:r>
      <w:proofErr w:type="gramEnd"/>
      <w:r>
        <w:rPr>
          <w:rFonts w:eastAsia="Arial"/>
          <w:szCs w:val="28"/>
        </w:rPr>
        <w:t>/д станции приема-передачи вагонов несет Исполнитель. Сумма НДС и условия начисления определяются в соответствии с законодательством Российской Федерации</w:t>
      </w:r>
      <w:proofErr w:type="gramStart"/>
      <w:r>
        <w:rPr>
          <w:rFonts w:eastAsia="Arial"/>
          <w:szCs w:val="28"/>
        </w:rPr>
        <w:t>.»</w:t>
      </w:r>
      <w:proofErr w:type="gramEnd"/>
    </w:p>
    <w:p w:rsidR="00CE4FED" w:rsidRDefault="00CE4FED" w:rsidP="0048137D">
      <w:pPr>
        <w:shd w:val="clear" w:color="auto" w:fill="FFFFFF"/>
        <w:jc w:val="both"/>
      </w:pPr>
    </w:p>
    <w:p w:rsidR="00CE4FED" w:rsidRDefault="00CE4FED" w:rsidP="0048137D">
      <w:pPr>
        <w:shd w:val="clear" w:color="auto" w:fill="FFFFFF"/>
        <w:jc w:val="both"/>
      </w:pPr>
      <w:r w:rsidRPr="00C101B1">
        <w:rPr>
          <w:b/>
        </w:rPr>
        <w:t xml:space="preserve">2. </w:t>
      </w:r>
      <w:r w:rsidR="00284AE8">
        <w:rPr>
          <w:b/>
        </w:rPr>
        <w:t>Пункт 4.11.2</w:t>
      </w:r>
      <w:r w:rsidR="00284AE8" w:rsidRPr="00284AE8">
        <w:rPr>
          <w:b/>
        </w:rPr>
        <w:t xml:space="preserve"> раздела 4 «Техническое задание» документации о закупке изложить в следующей редакции:</w:t>
      </w:r>
    </w:p>
    <w:p w:rsidR="00C101B1" w:rsidRDefault="00284AE8" w:rsidP="0048137D">
      <w:pPr>
        <w:shd w:val="clear" w:color="auto" w:fill="FFFFFF"/>
        <w:jc w:val="both"/>
      </w:pPr>
      <w:r>
        <w:t>«</w:t>
      </w:r>
      <w:r w:rsidRPr="00284AE8">
        <w:t>4.11.2. Стоимость разделки одного вагона: не более 49 166,67 (сорок девять тысяч сто шестьдесят шесть) рублей 67 копеек без учета НДС. Сумма НДС и условия начисления определяются в соответствии с законод</w:t>
      </w:r>
      <w:r>
        <w:t>ательством Российской Федерации».</w:t>
      </w:r>
    </w:p>
    <w:p w:rsidR="0048137D" w:rsidRDefault="0048137D" w:rsidP="003565AB">
      <w:pPr>
        <w:shd w:val="clear" w:color="auto" w:fill="FFFFFF"/>
        <w:jc w:val="both"/>
      </w:pPr>
    </w:p>
    <w:p w:rsidR="00CF7A76" w:rsidRPr="00CF7A76" w:rsidRDefault="00C101B1" w:rsidP="003565AB">
      <w:pPr>
        <w:shd w:val="clear" w:color="auto" w:fill="FFFFFF"/>
        <w:jc w:val="both"/>
        <w:rPr>
          <w:b/>
        </w:rPr>
      </w:pPr>
      <w:r w:rsidRPr="00CF7A76">
        <w:rPr>
          <w:b/>
        </w:rPr>
        <w:t xml:space="preserve">3. Изложить пункт </w:t>
      </w:r>
      <w:r w:rsidR="00284AE8">
        <w:rPr>
          <w:b/>
        </w:rPr>
        <w:t>5 раздела 5 «Информационная карта» документации о закупке</w:t>
      </w:r>
      <w:r w:rsidRPr="00CF7A76">
        <w:rPr>
          <w:b/>
        </w:rPr>
        <w:t xml:space="preserve"> </w:t>
      </w:r>
      <w:r w:rsidR="00CF7A76" w:rsidRPr="00CF7A76">
        <w:rPr>
          <w:b/>
        </w:rPr>
        <w:t>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6917"/>
      </w:tblGrid>
      <w:tr w:rsidR="00284AE8" w:rsidRPr="00284AE8" w:rsidTr="00286EF0">
        <w:tc>
          <w:tcPr>
            <w:tcW w:w="426" w:type="dxa"/>
          </w:tcPr>
          <w:p w:rsidR="00284AE8" w:rsidRPr="00284AE8" w:rsidRDefault="00284AE8" w:rsidP="00286EF0">
            <w:pPr>
              <w:shd w:val="clear" w:color="auto" w:fill="FFFFFF"/>
              <w:ind w:firstLine="0"/>
              <w:jc w:val="both"/>
              <w:rPr>
                <w:b/>
              </w:rPr>
            </w:pPr>
            <w:r w:rsidRPr="00284AE8">
              <w:rPr>
                <w:b/>
              </w:rPr>
              <w:t>5.</w:t>
            </w:r>
          </w:p>
        </w:tc>
        <w:tc>
          <w:tcPr>
            <w:tcW w:w="2409" w:type="dxa"/>
          </w:tcPr>
          <w:p w:rsidR="00284AE8" w:rsidRPr="00284AE8" w:rsidRDefault="00284AE8" w:rsidP="00286EF0">
            <w:pPr>
              <w:shd w:val="clear" w:color="auto" w:fill="FFFFFF"/>
              <w:ind w:firstLine="0"/>
              <w:jc w:val="both"/>
              <w:rPr>
                <w:b/>
              </w:rPr>
            </w:pPr>
            <w:r w:rsidRPr="00284AE8">
              <w:rPr>
                <w:b/>
              </w:rPr>
              <w:t xml:space="preserve">Начальная (максимальная) цена договора/ </w:t>
            </w:r>
            <w:r w:rsidRPr="00284AE8">
              <w:rPr>
                <w:b/>
              </w:rPr>
              <w:lastRenderedPageBreak/>
              <w:t>цена лота</w:t>
            </w:r>
          </w:p>
        </w:tc>
        <w:tc>
          <w:tcPr>
            <w:tcW w:w="6917" w:type="dxa"/>
          </w:tcPr>
          <w:p w:rsidR="00284AE8" w:rsidRPr="00284AE8" w:rsidRDefault="00061D41" w:rsidP="00286EF0">
            <w:pPr>
              <w:shd w:val="clear" w:color="auto" w:fill="FFFFFF"/>
              <w:ind w:firstLine="397"/>
              <w:jc w:val="both"/>
            </w:pPr>
            <w:r w:rsidRPr="00061D41">
              <w:lastRenderedPageBreak/>
              <w:t>Начальная (максимальная совокупная) цена договора/</w:t>
            </w:r>
            <w:proofErr w:type="spellStart"/>
            <w:r w:rsidRPr="00061D41">
              <w:t>ов</w:t>
            </w:r>
            <w:proofErr w:type="spellEnd"/>
            <w:r w:rsidRPr="00061D41">
              <w:t xml:space="preserve"> </w:t>
            </w:r>
            <w:r w:rsidR="00284AE8" w:rsidRPr="00284AE8">
              <w:t xml:space="preserve">составляет 4 572 500,31 (Четыре миллиона пятьсот семьдесят две тысячи пятьсот) рублей 31 </w:t>
            </w:r>
            <w:r w:rsidR="00284AE8" w:rsidRPr="00284AE8">
              <w:lastRenderedPageBreak/>
              <w:t>копейка</w:t>
            </w:r>
            <w:r w:rsidR="00284AE8" w:rsidRPr="00284AE8">
              <w:rPr>
                <w:b/>
              </w:rPr>
              <w:t xml:space="preserve"> </w:t>
            </w:r>
            <w:r w:rsidR="00284AE8" w:rsidRPr="00284AE8">
              <w:t xml:space="preserve">с учетом всех налогов (кроме НДС), всех расходов Исполнителя, связанных с выполнением Работ, сборов и других обязательных платежей, а также включает в себя: </w:t>
            </w:r>
          </w:p>
          <w:p w:rsidR="00284AE8" w:rsidRPr="00284AE8" w:rsidRDefault="00284AE8" w:rsidP="00286EF0">
            <w:pPr>
              <w:shd w:val="clear" w:color="auto" w:fill="FFFFFF"/>
              <w:ind w:firstLine="397"/>
              <w:jc w:val="both"/>
            </w:pPr>
            <w:r w:rsidRPr="00284AE8">
              <w:t xml:space="preserve">- Подачу-уборку с места передачи вагонов на место проведения работ по разделке; </w:t>
            </w:r>
          </w:p>
          <w:p w:rsidR="00284AE8" w:rsidRPr="00284AE8" w:rsidRDefault="00284AE8" w:rsidP="00286EF0">
            <w:pPr>
              <w:shd w:val="clear" w:color="auto" w:fill="FFFFFF"/>
              <w:ind w:firstLine="397"/>
              <w:jc w:val="both"/>
            </w:pPr>
            <w:r w:rsidRPr="00284AE8">
              <w:t xml:space="preserve">- Взвешивание вагона; </w:t>
            </w:r>
          </w:p>
          <w:p w:rsidR="00284AE8" w:rsidRPr="00284AE8" w:rsidRDefault="00284AE8" w:rsidP="00286EF0">
            <w:pPr>
              <w:shd w:val="clear" w:color="auto" w:fill="FFFFFF"/>
              <w:ind w:firstLine="397"/>
              <w:jc w:val="both"/>
            </w:pPr>
            <w:r w:rsidRPr="00284AE8">
              <w:t xml:space="preserve">- Разборку вагона и демонтаж съемного оборудования; </w:t>
            </w:r>
          </w:p>
          <w:p w:rsidR="00284AE8" w:rsidRPr="00284AE8" w:rsidRDefault="00284AE8" w:rsidP="00286EF0">
            <w:pPr>
              <w:shd w:val="clear" w:color="auto" w:fill="FFFFFF"/>
              <w:ind w:firstLine="397"/>
              <w:jc w:val="both"/>
            </w:pPr>
            <w:r w:rsidRPr="00284AE8">
              <w:t xml:space="preserve">- Укрупненную разделку рамы вагонов;  </w:t>
            </w:r>
          </w:p>
          <w:p w:rsidR="00284AE8" w:rsidRPr="00284AE8" w:rsidRDefault="00284AE8" w:rsidP="00286EF0">
            <w:pPr>
              <w:shd w:val="clear" w:color="auto" w:fill="FFFFFF"/>
              <w:ind w:firstLine="397"/>
              <w:jc w:val="both"/>
            </w:pPr>
            <w:r w:rsidRPr="00284AE8">
              <w:t>- Окончательную (</w:t>
            </w:r>
            <w:proofErr w:type="spellStart"/>
            <w:r w:rsidRPr="00284AE8">
              <w:t>подетальную</w:t>
            </w:r>
            <w:proofErr w:type="spellEnd"/>
            <w:r w:rsidRPr="00284AE8">
              <w:t xml:space="preserve">) разделку элементов рамы на части по категориям лома; </w:t>
            </w:r>
          </w:p>
          <w:p w:rsidR="00284AE8" w:rsidRPr="00284AE8" w:rsidRDefault="00284AE8" w:rsidP="00286EF0">
            <w:pPr>
              <w:shd w:val="clear" w:color="auto" w:fill="FFFFFF"/>
              <w:ind w:firstLine="397"/>
              <w:jc w:val="both"/>
            </w:pPr>
            <w:r w:rsidRPr="00284AE8">
              <w:t xml:space="preserve">- Сортировку деталей и лома черных металлов, образовавшихся в результате разборки вагонов, по видам и категориям лома; - Взвешивание деталей и лома черных металлов по категориям по требованию заказчика; </w:t>
            </w:r>
          </w:p>
          <w:p w:rsidR="00284AE8" w:rsidRPr="00284AE8" w:rsidRDefault="00284AE8" w:rsidP="00286EF0">
            <w:pPr>
              <w:shd w:val="clear" w:color="auto" w:fill="FFFFFF"/>
              <w:ind w:firstLine="397"/>
              <w:jc w:val="both"/>
            </w:pPr>
            <w:r w:rsidRPr="00284AE8">
              <w:t xml:space="preserve">-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 </w:t>
            </w:r>
            <w:proofErr w:type="gramStart"/>
            <w:r w:rsidRPr="00284AE8">
              <w:t>с даты подписания</w:t>
            </w:r>
            <w:proofErr w:type="gramEnd"/>
            <w:r w:rsidRPr="00284AE8">
              <w:t xml:space="preserve"> договора по 30.06.2026 (включительно); </w:t>
            </w:r>
          </w:p>
          <w:p w:rsidR="00284AE8" w:rsidRPr="00284AE8" w:rsidRDefault="00284AE8" w:rsidP="00286EF0">
            <w:pPr>
              <w:shd w:val="clear" w:color="auto" w:fill="FFFFFF"/>
              <w:ind w:firstLine="397"/>
              <w:jc w:val="both"/>
            </w:pPr>
            <w:r w:rsidRPr="00284AE8">
              <w:t xml:space="preserve">- Осуществление погрузочно-разгрузочных работ; </w:t>
            </w:r>
          </w:p>
          <w:p w:rsidR="00284AE8" w:rsidRPr="00284AE8" w:rsidRDefault="00284AE8" w:rsidP="00286EF0">
            <w:pPr>
              <w:shd w:val="clear" w:color="auto" w:fill="FFFFFF"/>
              <w:ind w:firstLine="397"/>
              <w:jc w:val="both"/>
            </w:pPr>
            <w:r w:rsidRPr="00284AE8">
              <w:t xml:space="preserve">- Нанесение неустранимого дефекта на детали образованные в процессе демонтажа и разделки вагона, по соответствующей заявке Заказчика; </w:t>
            </w:r>
          </w:p>
          <w:p w:rsidR="00284AE8" w:rsidRPr="00284AE8" w:rsidRDefault="00284AE8" w:rsidP="00286EF0">
            <w:pPr>
              <w:shd w:val="clear" w:color="auto" w:fill="FFFFFF"/>
              <w:ind w:firstLine="397"/>
              <w:jc w:val="both"/>
            </w:pPr>
            <w:r w:rsidRPr="00284AE8">
              <w:t xml:space="preserve">-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 </w:t>
            </w:r>
          </w:p>
          <w:p w:rsidR="00284AE8" w:rsidRPr="00284AE8" w:rsidRDefault="00284AE8" w:rsidP="00286EF0">
            <w:pPr>
              <w:shd w:val="clear" w:color="auto" w:fill="FFFFFF"/>
              <w:ind w:firstLine="397"/>
              <w:jc w:val="both"/>
            </w:pPr>
            <w:r w:rsidRPr="00284AE8">
              <w:t xml:space="preserve">- Утилизацию неметаллических отходов, образованных в процессе разделки; </w:t>
            </w:r>
          </w:p>
          <w:p w:rsidR="00284AE8" w:rsidRPr="00284AE8" w:rsidRDefault="00284AE8" w:rsidP="00286EF0">
            <w:pPr>
              <w:shd w:val="clear" w:color="auto" w:fill="FFFFFF"/>
              <w:ind w:firstLine="397"/>
              <w:jc w:val="both"/>
            </w:pPr>
            <w:r w:rsidRPr="00284AE8">
              <w:t>-</w:t>
            </w:r>
            <w:r w:rsidRPr="00284AE8">
              <w:tab/>
              <w:t xml:space="preserve">Организацию отгрузки лома черных металлов и/или деталей по заявке Заказчика; </w:t>
            </w:r>
          </w:p>
          <w:p w:rsidR="00284AE8" w:rsidRPr="00284AE8" w:rsidRDefault="00284AE8" w:rsidP="00286EF0">
            <w:pPr>
              <w:shd w:val="clear" w:color="auto" w:fill="FFFFFF"/>
              <w:ind w:firstLine="397"/>
              <w:jc w:val="both"/>
            </w:pPr>
            <w:r w:rsidRPr="00284AE8">
              <w:t xml:space="preserve">-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расположенных в границах Октябрьской железной дороги. </w:t>
            </w:r>
          </w:p>
          <w:p w:rsidR="00284AE8" w:rsidRPr="00284AE8" w:rsidRDefault="00284AE8" w:rsidP="00286EF0">
            <w:pPr>
              <w:shd w:val="clear" w:color="auto" w:fill="FFFFFF"/>
              <w:ind w:firstLine="397"/>
              <w:jc w:val="both"/>
            </w:pPr>
            <w:r w:rsidRPr="00284AE8">
              <w:t>Сумма НДС и условия начисления определяются в соответствии  законодательством Российской Федерации.</w:t>
            </w:r>
          </w:p>
        </w:tc>
      </w:tr>
    </w:tbl>
    <w:p w:rsidR="0048137D" w:rsidRDefault="0048137D" w:rsidP="003565AB">
      <w:pPr>
        <w:shd w:val="clear" w:color="auto" w:fill="FFFFFF"/>
        <w:jc w:val="both"/>
      </w:pPr>
    </w:p>
    <w:p w:rsidR="0048137D" w:rsidRDefault="0066319E" w:rsidP="003565AB">
      <w:pPr>
        <w:shd w:val="clear" w:color="auto" w:fill="FFFFFF"/>
        <w:jc w:val="both"/>
      </w:pPr>
      <w:r w:rsidRPr="0059623B">
        <w:rPr>
          <w:b/>
        </w:rPr>
        <w:lastRenderedPageBreak/>
        <w:t xml:space="preserve">4. </w:t>
      </w:r>
      <w:r w:rsidR="00286EF0" w:rsidRPr="00286EF0">
        <w:rPr>
          <w:b/>
        </w:rPr>
        <w:t xml:space="preserve">Изложить пункт </w:t>
      </w:r>
      <w:r w:rsidR="00286EF0">
        <w:rPr>
          <w:b/>
        </w:rPr>
        <w:t>8</w:t>
      </w:r>
      <w:r w:rsidR="00286EF0" w:rsidRPr="00286EF0">
        <w:rPr>
          <w:b/>
        </w:rPr>
        <w:t xml:space="preserve"> раздела 5 «Информационная карта» документации о закупке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6917"/>
      </w:tblGrid>
      <w:tr w:rsidR="00286EF0" w:rsidRPr="00286EF0" w:rsidTr="00286EF0">
        <w:tc>
          <w:tcPr>
            <w:tcW w:w="426" w:type="dxa"/>
          </w:tcPr>
          <w:p w:rsidR="00286EF0" w:rsidRPr="00286EF0" w:rsidRDefault="00286EF0" w:rsidP="00286EF0">
            <w:pPr>
              <w:shd w:val="clear" w:color="auto" w:fill="FFFFFF"/>
              <w:ind w:firstLine="0"/>
              <w:jc w:val="both"/>
              <w:rPr>
                <w:b/>
              </w:rPr>
            </w:pPr>
            <w:r w:rsidRPr="00286EF0">
              <w:rPr>
                <w:b/>
              </w:rPr>
              <w:t>8.</w:t>
            </w:r>
          </w:p>
        </w:tc>
        <w:tc>
          <w:tcPr>
            <w:tcW w:w="2409" w:type="dxa"/>
          </w:tcPr>
          <w:p w:rsidR="00286EF0" w:rsidRPr="00286EF0" w:rsidRDefault="00286EF0" w:rsidP="00286EF0">
            <w:pPr>
              <w:shd w:val="clear" w:color="auto" w:fill="FFFFFF"/>
              <w:ind w:firstLine="0"/>
              <w:jc w:val="both"/>
              <w:rPr>
                <w:b/>
              </w:rPr>
            </w:pPr>
            <w:r w:rsidRPr="00286EF0">
              <w:rPr>
                <w:b/>
              </w:rPr>
              <w:t>Вскрытие конвертов с Заявками, рассмотрение, оценка и сопоставление Заявок</w:t>
            </w:r>
          </w:p>
        </w:tc>
        <w:tc>
          <w:tcPr>
            <w:tcW w:w="6917" w:type="dxa"/>
          </w:tcPr>
          <w:p w:rsidR="00286EF0" w:rsidRPr="00286EF0" w:rsidRDefault="00286EF0" w:rsidP="00014146">
            <w:pPr>
              <w:shd w:val="clear" w:color="auto" w:fill="FFFFFF"/>
              <w:ind w:firstLine="397"/>
              <w:jc w:val="both"/>
            </w:pPr>
            <w:r w:rsidRPr="00286EF0">
              <w:t xml:space="preserve">Вскрытие, рассмотрение, оценка и сопоставление Заявок состоится: </w:t>
            </w:r>
          </w:p>
          <w:p w:rsidR="00286EF0" w:rsidRPr="00286EF0" w:rsidRDefault="00286EF0" w:rsidP="00014146">
            <w:pPr>
              <w:shd w:val="clear" w:color="auto" w:fill="FFFFFF"/>
              <w:ind w:firstLine="397"/>
              <w:jc w:val="both"/>
            </w:pPr>
            <w:r w:rsidRPr="00286EF0">
              <w:t xml:space="preserve">1) по первому этапу «26» декабря 2024 г. 10 час. 05 мин. местного времени по адресу, указанному в пункте 2 Информационной карты. </w:t>
            </w:r>
          </w:p>
          <w:p w:rsidR="00014146" w:rsidRDefault="00286EF0" w:rsidP="00014146">
            <w:pPr>
              <w:shd w:val="clear" w:color="auto" w:fill="FFFFFF"/>
              <w:ind w:firstLine="397"/>
              <w:jc w:val="both"/>
            </w:pPr>
            <w:r w:rsidRPr="00286EF0">
              <w:t xml:space="preserve">2) по второму </w:t>
            </w:r>
            <w:r w:rsidR="00014146">
              <w:t xml:space="preserve">этапу «17» марта 2025 г. в 10 час. 00 мин. </w:t>
            </w:r>
            <w:r w:rsidR="00014146" w:rsidRPr="00014146">
              <w:t>местного времени по адресу, указанному в пункте 2 Информационной карты.</w:t>
            </w:r>
          </w:p>
          <w:p w:rsidR="00286EF0" w:rsidRPr="00286EF0" w:rsidRDefault="00540292" w:rsidP="00014146">
            <w:pPr>
              <w:shd w:val="clear" w:color="auto" w:fill="FFFFFF"/>
              <w:ind w:firstLine="397"/>
              <w:jc w:val="both"/>
            </w:pPr>
            <w:r>
              <w:t>3) по третьему и</w:t>
            </w:r>
            <w:r w:rsidR="00286EF0" w:rsidRPr="00286EF0">
              <w:t xml:space="preserve">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286EF0" w:rsidRPr="00286EF0" w:rsidRDefault="00540292" w:rsidP="00014146">
            <w:pPr>
              <w:shd w:val="clear" w:color="auto" w:fill="FFFFFF"/>
              <w:ind w:firstLine="397"/>
              <w:jc w:val="both"/>
            </w:pPr>
            <w:r>
              <w:t>4</w:t>
            </w:r>
            <w:r w:rsidR="00286EF0" w:rsidRPr="00286EF0">
              <w:t xml:space="preserve">) по последнему этапу при наличии Заявок – не позднее 10 (десяти) календарных дней </w:t>
            </w:r>
            <w:proofErr w:type="gramStart"/>
            <w:r w:rsidR="00286EF0" w:rsidRPr="00286EF0">
              <w:t>с даты окончания</w:t>
            </w:r>
            <w:proofErr w:type="gramEnd"/>
            <w:r w:rsidR="00286EF0" w:rsidRPr="00286EF0">
              <w:t xml:space="preserve"> приема Заявок.</w:t>
            </w:r>
          </w:p>
        </w:tc>
      </w:tr>
    </w:tbl>
    <w:p w:rsidR="00286EF0" w:rsidRDefault="00286EF0" w:rsidP="003565AB">
      <w:pPr>
        <w:shd w:val="clear" w:color="auto" w:fill="FFFFFF"/>
        <w:jc w:val="both"/>
      </w:pPr>
    </w:p>
    <w:p w:rsidR="00E62752" w:rsidRDefault="00E62752" w:rsidP="00BA2F41">
      <w:pPr>
        <w:tabs>
          <w:tab w:val="left" w:pos="993"/>
        </w:tabs>
        <w:ind w:firstLine="0"/>
        <w:jc w:val="both"/>
        <w:rPr>
          <w:szCs w:val="28"/>
        </w:rPr>
      </w:pPr>
    </w:p>
    <w:p w:rsidR="00636496"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E62752">
        <w:t>№ РО-НКПОКТ-24-0007</w:t>
      </w:r>
      <w:r w:rsidRPr="001B2E19">
        <w:rPr>
          <w:szCs w:val="28"/>
        </w:rPr>
        <w:t xml:space="preserve"> раз</w:t>
      </w:r>
      <w:r w:rsidR="0069475B">
        <w:rPr>
          <w:szCs w:val="28"/>
        </w:rPr>
        <w:t>мещена на официальном сайте ПАО </w:t>
      </w:r>
      <w:r w:rsidRPr="001B2E19">
        <w:rPr>
          <w:szCs w:val="28"/>
        </w:rPr>
        <w:t>«</w:t>
      </w:r>
      <w:proofErr w:type="spellStart"/>
      <w:r w:rsidRPr="001B2E19">
        <w:rPr>
          <w:szCs w:val="28"/>
        </w:rPr>
        <w:t>ТрансКонтейнер</w:t>
      </w:r>
      <w:proofErr w:type="spellEnd"/>
      <w:r w:rsidRPr="001B2E19">
        <w:rPr>
          <w:szCs w:val="28"/>
        </w:rPr>
        <w:t>» (</w:t>
      </w:r>
      <w:hyperlink r:id="rId9" w:history="1">
        <w:r w:rsidRPr="001B2E19">
          <w:rPr>
            <w:rStyle w:val="a7"/>
            <w:szCs w:val="28"/>
          </w:rPr>
          <w:t>http://www.trcont.ru</w:t>
        </w:r>
      </w:hyperlink>
      <w:r w:rsidRPr="001B2E19">
        <w:rPr>
          <w:szCs w:val="28"/>
        </w:rPr>
        <w:t>).</w:t>
      </w:r>
    </w:p>
    <w:p w:rsidR="00F10478" w:rsidRDefault="00F10478" w:rsidP="00860811">
      <w:pPr>
        <w:tabs>
          <w:tab w:val="left" w:pos="993"/>
        </w:tabs>
        <w:jc w:val="both"/>
        <w:rPr>
          <w:szCs w:val="28"/>
        </w:rPr>
      </w:pPr>
    </w:p>
    <w:p w:rsidR="00F10478" w:rsidRPr="00860811" w:rsidRDefault="00F10478" w:rsidP="00860811">
      <w:pPr>
        <w:tabs>
          <w:tab w:val="left" w:pos="993"/>
        </w:tabs>
        <w:jc w:val="both"/>
        <w:rPr>
          <w:szCs w:val="28"/>
        </w:rPr>
      </w:pPr>
    </w:p>
    <w:p w:rsidR="00E6434E" w:rsidRDefault="003E2DBB" w:rsidP="00765095">
      <w:pPr>
        <w:tabs>
          <w:tab w:val="clear" w:pos="709"/>
        </w:tabs>
        <w:suppressAutoHyphens/>
        <w:ind w:firstLine="0"/>
        <w:jc w:val="both"/>
        <w:rPr>
          <w:szCs w:val="28"/>
        </w:rPr>
      </w:pPr>
      <w:r>
        <w:rPr>
          <w:szCs w:val="28"/>
        </w:rPr>
        <w:t>Председатель Конкурсной комиссии</w:t>
      </w:r>
    </w:p>
    <w:p w:rsidR="003E2DBB" w:rsidRDefault="003E2DBB" w:rsidP="00765095">
      <w:pPr>
        <w:tabs>
          <w:tab w:val="clear" w:pos="709"/>
        </w:tabs>
        <w:suppressAutoHyphens/>
        <w:ind w:firstLine="0"/>
        <w:jc w:val="both"/>
        <w:rPr>
          <w:szCs w:val="28"/>
        </w:rPr>
      </w:pPr>
      <w:r>
        <w:rPr>
          <w:szCs w:val="28"/>
        </w:rPr>
        <w:t>филиала ПАО «</w:t>
      </w:r>
      <w:proofErr w:type="spellStart"/>
      <w:r>
        <w:rPr>
          <w:szCs w:val="28"/>
        </w:rPr>
        <w:t>ТрансКонтейнер</w:t>
      </w:r>
      <w:proofErr w:type="spellEnd"/>
      <w:r>
        <w:rPr>
          <w:szCs w:val="28"/>
        </w:rPr>
        <w:t>»</w:t>
      </w:r>
    </w:p>
    <w:p w:rsidR="003E2DBB" w:rsidRDefault="003E2DBB" w:rsidP="00765095">
      <w:pPr>
        <w:tabs>
          <w:tab w:val="clear" w:pos="709"/>
        </w:tabs>
        <w:suppressAutoHyphens/>
        <w:ind w:firstLine="0"/>
        <w:jc w:val="both"/>
        <w:rPr>
          <w:szCs w:val="28"/>
        </w:rPr>
      </w:pPr>
      <w:r>
        <w:rPr>
          <w:szCs w:val="28"/>
        </w:rPr>
        <w:t>на Октябрьской железной дороге</w:t>
      </w:r>
    </w:p>
    <w:p w:rsidR="000473ED" w:rsidRDefault="000473ED" w:rsidP="00740479">
      <w:pPr>
        <w:tabs>
          <w:tab w:val="clear" w:pos="709"/>
        </w:tabs>
        <w:suppressAutoHyphens/>
        <w:jc w:val="both"/>
        <w:rPr>
          <w:szCs w:val="28"/>
        </w:rPr>
      </w:pPr>
    </w:p>
    <w:p w:rsidR="000473ED" w:rsidRDefault="000473ED" w:rsidP="005F3F41">
      <w:pPr>
        <w:tabs>
          <w:tab w:val="clear" w:pos="709"/>
        </w:tabs>
        <w:suppressAutoHyphens/>
        <w:ind w:firstLine="0"/>
        <w:jc w:val="both"/>
        <w:rPr>
          <w:szCs w:val="28"/>
        </w:rPr>
      </w:pPr>
    </w:p>
    <w:p w:rsidR="000473ED" w:rsidRDefault="000473ED" w:rsidP="00740479">
      <w:pPr>
        <w:tabs>
          <w:tab w:val="clear" w:pos="709"/>
        </w:tabs>
        <w:suppressAutoHyphens/>
        <w:jc w:val="both"/>
        <w:rPr>
          <w:szCs w:val="28"/>
        </w:rPr>
      </w:pPr>
    </w:p>
    <w:p w:rsidR="000473ED" w:rsidRDefault="000473ED" w:rsidP="00740479">
      <w:pPr>
        <w:tabs>
          <w:tab w:val="clear" w:pos="709"/>
        </w:tabs>
        <w:suppressAutoHyphens/>
        <w:jc w:val="both"/>
        <w:rPr>
          <w:szCs w:val="28"/>
        </w:rPr>
      </w:pPr>
    </w:p>
    <w:p w:rsidR="000473ED" w:rsidRDefault="000473ED" w:rsidP="00D511F2">
      <w:pPr>
        <w:tabs>
          <w:tab w:val="clear" w:pos="709"/>
        </w:tabs>
        <w:suppressAutoHyphens/>
        <w:ind w:firstLine="0"/>
        <w:jc w:val="both"/>
        <w:rPr>
          <w:szCs w:val="28"/>
        </w:rPr>
      </w:pPr>
    </w:p>
    <w:p w:rsidR="00BA2F41" w:rsidRDefault="00BA2F41" w:rsidP="00D511F2">
      <w:pPr>
        <w:tabs>
          <w:tab w:val="clear" w:pos="709"/>
        </w:tabs>
        <w:suppressAutoHyphens/>
        <w:ind w:firstLine="0"/>
        <w:jc w:val="both"/>
        <w:rPr>
          <w:szCs w:val="28"/>
        </w:rPr>
      </w:pPr>
    </w:p>
    <w:p w:rsidR="00BA2F41" w:rsidRDefault="00BA2F41" w:rsidP="00D511F2">
      <w:pPr>
        <w:tabs>
          <w:tab w:val="clear" w:pos="709"/>
        </w:tabs>
        <w:suppressAutoHyphens/>
        <w:ind w:firstLine="0"/>
        <w:jc w:val="both"/>
        <w:rPr>
          <w:szCs w:val="28"/>
        </w:rPr>
      </w:pPr>
    </w:p>
    <w:p w:rsidR="00BA2F41" w:rsidRDefault="00BA2F41" w:rsidP="00D511F2">
      <w:pPr>
        <w:tabs>
          <w:tab w:val="clear" w:pos="709"/>
        </w:tabs>
        <w:suppressAutoHyphens/>
        <w:ind w:firstLine="0"/>
        <w:jc w:val="both"/>
        <w:rPr>
          <w:szCs w:val="28"/>
        </w:rPr>
      </w:pPr>
    </w:p>
    <w:p w:rsidR="00BA2F41" w:rsidRDefault="00BA2F41" w:rsidP="00D511F2">
      <w:pPr>
        <w:tabs>
          <w:tab w:val="clear" w:pos="709"/>
        </w:tabs>
        <w:suppressAutoHyphens/>
        <w:ind w:firstLine="0"/>
        <w:jc w:val="both"/>
        <w:rPr>
          <w:szCs w:val="28"/>
        </w:rPr>
      </w:pPr>
    </w:p>
    <w:p w:rsidR="00BA2F41" w:rsidRDefault="00BA2F41" w:rsidP="00D511F2">
      <w:pPr>
        <w:tabs>
          <w:tab w:val="clear" w:pos="709"/>
        </w:tabs>
        <w:suppressAutoHyphens/>
        <w:ind w:firstLine="0"/>
        <w:jc w:val="both"/>
        <w:rPr>
          <w:szCs w:val="28"/>
        </w:rPr>
      </w:pPr>
    </w:p>
    <w:p w:rsidR="00BA2F41" w:rsidRDefault="00BA2F41" w:rsidP="00D511F2">
      <w:pPr>
        <w:tabs>
          <w:tab w:val="clear" w:pos="709"/>
        </w:tabs>
        <w:suppressAutoHyphens/>
        <w:ind w:firstLine="0"/>
        <w:jc w:val="both"/>
        <w:rPr>
          <w:szCs w:val="28"/>
        </w:rPr>
      </w:pPr>
    </w:p>
    <w:p w:rsidR="00BA2F41" w:rsidRDefault="00BA2F41" w:rsidP="00D511F2">
      <w:pPr>
        <w:tabs>
          <w:tab w:val="clear" w:pos="709"/>
        </w:tabs>
        <w:suppressAutoHyphens/>
        <w:ind w:firstLine="0"/>
        <w:jc w:val="both"/>
        <w:rPr>
          <w:szCs w:val="28"/>
        </w:rPr>
      </w:pPr>
    </w:p>
    <w:p w:rsidR="00BA2F41" w:rsidRDefault="00BA2F41" w:rsidP="00D511F2">
      <w:pPr>
        <w:tabs>
          <w:tab w:val="clear" w:pos="709"/>
        </w:tabs>
        <w:suppressAutoHyphens/>
        <w:ind w:firstLine="0"/>
        <w:jc w:val="both"/>
        <w:rPr>
          <w:szCs w:val="28"/>
        </w:rPr>
      </w:pPr>
    </w:p>
    <w:p w:rsidR="00BA2F41" w:rsidRDefault="00BA2F41" w:rsidP="00D511F2">
      <w:pPr>
        <w:tabs>
          <w:tab w:val="clear" w:pos="709"/>
        </w:tabs>
        <w:suppressAutoHyphens/>
        <w:ind w:firstLine="0"/>
        <w:jc w:val="both"/>
        <w:rPr>
          <w:szCs w:val="28"/>
        </w:rPr>
      </w:pPr>
    </w:p>
    <w:p w:rsidR="00BA2F41" w:rsidRDefault="00BA2F41" w:rsidP="00D511F2">
      <w:pPr>
        <w:tabs>
          <w:tab w:val="clear" w:pos="709"/>
        </w:tabs>
        <w:suppressAutoHyphens/>
        <w:ind w:firstLine="0"/>
        <w:jc w:val="both"/>
        <w:rPr>
          <w:szCs w:val="28"/>
        </w:rPr>
      </w:pPr>
    </w:p>
    <w:p w:rsidR="00BA2F41" w:rsidRDefault="00BA2F41" w:rsidP="00D511F2">
      <w:pPr>
        <w:tabs>
          <w:tab w:val="clear" w:pos="709"/>
        </w:tabs>
        <w:suppressAutoHyphens/>
        <w:ind w:firstLine="0"/>
        <w:jc w:val="both"/>
        <w:rPr>
          <w:szCs w:val="28"/>
        </w:rPr>
      </w:pPr>
      <w:bookmarkStart w:id="0" w:name="_GoBack"/>
      <w:bookmarkEnd w:id="0"/>
    </w:p>
    <w:p w:rsidR="00D511F2" w:rsidRPr="00D511F2" w:rsidRDefault="00D511F2" w:rsidP="00D511F2">
      <w:pPr>
        <w:tabs>
          <w:tab w:val="clear" w:pos="709"/>
        </w:tabs>
        <w:ind w:firstLine="0"/>
        <w:jc w:val="both"/>
        <w:rPr>
          <w:rFonts w:eastAsia="Calibri"/>
          <w:snapToGrid/>
          <w:sz w:val="20"/>
          <w:lang w:eastAsia="en-US"/>
        </w:rPr>
      </w:pPr>
      <w:r w:rsidRPr="00D511F2">
        <w:rPr>
          <w:rFonts w:eastAsia="Calibri"/>
          <w:snapToGrid/>
          <w:sz w:val="20"/>
          <w:lang w:eastAsia="en-US"/>
        </w:rPr>
        <w:t>Исп. НКПОКТ, НКПТС</w:t>
      </w:r>
    </w:p>
    <w:p w:rsidR="000473ED" w:rsidRDefault="00D511F2" w:rsidP="00D511F2">
      <w:pPr>
        <w:tabs>
          <w:tab w:val="clear" w:pos="709"/>
        </w:tabs>
        <w:suppressAutoHyphens/>
        <w:ind w:firstLine="0"/>
        <w:jc w:val="both"/>
        <w:rPr>
          <w:szCs w:val="28"/>
        </w:rPr>
      </w:pPr>
      <w:r w:rsidRPr="00D511F2">
        <w:rPr>
          <w:rFonts w:eastAsia="Calibri"/>
          <w:snapToGrid/>
          <w:sz w:val="20"/>
          <w:lang w:eastAsia="en-US"/>
        </w:rPr>
        <w:t>Тел.: +7 (812) 470-70-25, доб. 30-64</w:t>
      </w:r>
    </w:p>
    <w:sectPr w:rsidR="000473ED" w:rsidSect="00FF154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AE8" w:rsidRDefault="00284AE8" w:rsidP="00BB56B3">
      <w:r>
        <w:separator/>
      </w:r>
    </w:p>
  </w:endnote>
  <w:endnote w:type="continuationSeparator" w:id="0">
    <w:p w:rsidR="00284AE8" w:rsidRDefault="00284AE8" w:rsidP="00BB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AE8" w:rsidRDefault="00284AE8" w:rsidP="00BB56B3">
      <w:r>
        <w:separator/>
      </w:r>
    </w:p>
  </w:footnote>
  <w:footnote w:type="continuationSeparator" w:id="0">
    <w:p w:rsidR="00284AE8" w:rsidRDefault="00284AE8" w:rsidP="00BB5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0">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2">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6"/>
  </w:num>
  <w:num w:numId="5">
    <w:abstractNumId w:val="39"/>
  </w:num>
  <w:num w:numId="6">
    <w:abstractNumId w:val="20"/>
  </w:num>
  <w:num w:numId="7">
    <w:abstractNumId w:val="17"/>
  </w:num>
  <w:num w:numId="8">
    <w:abstractNumId w:val="38"/>
  </w:num>
  <w:num w:numId="9">
    <w:abstractNumId w:val="36"/>
  </w:num>
  <w:num w:numId="10">
    <w:abstractNumId w:val="12"/>
  </w:num>
  <w:num w:numId="11">
    <w:abstractNumId w:val="58"/>
  </w:num>
  <w:num w:numId="12">
    <w:abstractNumId w:val="33"/>
  </w:num>
  <w:num w:numId="13">
    <w:abstractNumId w:val="43"/>
  </w:num>
  <w:num w:numId="14">
    <w:abstractNumId w:val="28"/>
  </w:num>
  <w:num w:numId="15">
    <w:abstractNumId w:val="56"/>
  </w:num>
  <w:num w:numId="16">
    <w:abstractNumId w:val="27"/>
  </w:num>
  <w:num w:numId="17">
    <w:abstractNumId w:val="48"/>
  </w:num>
  <w:num w:numId="18">
    <w:abstractNumId w:val="31"/>
  </w:num>
  <w:num w:numId="19">
    <w:abstractNumId w:val="14"/>
  </w:num>
  <w:num w:numId="20">
    <w:abstractNumId w:val="24"/>
  </w:num>
  <w:num w:numId="21">
    <w:abstractNumId w:val="7"/>
  </w:num>
  <w:num w:numId="22">
    <w:abstractNumId w:val="22"/>
  </w:num>
  <w:num w:numId="23">
    <w:abstractNumId w:val="63"/>
  </w:num>
  <w:num w:numId="24">
    <w:abstractNumId w:val="9"/>
  </w:num>
  <w:num w:numId="25">
    <w:abstractNumId w:val="52"/>
  </w:num>
  <w:num w:numId="26">
    <w:abstractNumId w:val="50"/>
  </w:num>
  <w:num w:numId="27">
    <w:abstractNumId w:val="21"/>
  </w:num>
  <w:num w:numId="28">
    <w:abstractNumId w:val="34"/>
  </w:num>
  <w:num w:numId="29">
    <w:abstractNumId w:val="44"/>
  </w:num>
  <w:num w:numId="30">
    <w:abstractNumId w:val="46"/>
  </w:num>
  <w:num w:numId="31">
    <w:abstractNumId w:val="37"/>
  </w:num>
  <w:num w:numId="32">
    <w:abstractNumId w:val="45"/>
  </w:num>
  <w:num w:numId="33">
    <w:abstractNumId w:val="40"/>
  </w:num>
  <w:num w:numId="34">
    <w:abstractNumId w:val="16"/>
  </w:num>
  <w:num w:numId="35">
    <w:abstractNumId w:val="10"/>
  </w:num>
  <w:num w:numId="36">
    <w:abstractNumId w:val="6"/>
  </w:num>
  <w:num w:numId="37">
    <w:abstractNumId w:val="32"/>
  </w:num>
  <w:num w:numId="38">
    <w:abstractNumId w:val="49"/>
  </w:num>
  <w:num w:numId="39">
    <w:abstractNumId w:val="18"/>
  </w:num>
  <w:num w:numId="40">
    <w:abstractNumId w:val="57"/>
  </w:num>
  <w:num w:numId="41">
    <w:abstractNumId w:val="8"/>
  </w:num>
  <w:num w:numId="42">
    <w:abstractNumId w:val="29"/>
  </w:num>
  <w:num w:numId="43">
    <w:abstractNumId w:val="62"/>
  </w:num>
  <w:num w:numId="44">
    <w:abstractNumId w:val="47"/>
  </w:num>
  <w:num w:numId="45">
    <w:abstractNumId w:val="60"/>
  </w:num>
  <w:num w:numId="46">
    <w:abstractNumId w:val="41"/>
  </w:num>
  <w:num w:numId="47">
    <w:abstractNumId w:val="53"/>
  </w:num>
  <w:num w:numId="48">
    <w:abstractNumId w:val="15"/>
  </w:num>
  <w:num w:numId="49">
    <w:abstractNumId w:val="42"/>
  </w:num>
  <w:num w:numId="50">
    <w:abstractNumId w:val="23"/>
  </w:num>
  <w:num w:numId="51">
    <w:abstractNumId w:val="30"/>
  </w:num>
  <w:num w:numId="52">
    <w:abstractNumId w:val="61"/>
  </w:num>
  <w:num w:numId="53">
    <w:abstractNumId w:val="51"/>
  </w:num>
  <w:num w:numId="54">
    <w:abstractNumId w:val="35"/>
  </w:num>
  <w:num w:numId="55">
    <w:abstractNumId w:val="54"/>
  </w:num>
  <w:num w:numId="56">
    <w:abstractNumId w:val="59"/>
  </w:num>
  <w:num w:numId="57">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48D5"/>
    <w:rsid w:val="00000DAC"/>
    <w:rsid w:val="00002077"/>
    <w:rsid w:val="000026E9"/>
    <w:rsid w:val="00002AFC"/>
    <w:rsid w:val="00003459"/>
    <w:rsid w:val="00003F1F"/>
    <w:rsid w:val="000043DD"/>
    <w:rsid w:val="00006217"/>
    <w:rsid w:val="000101D8"/>
    <w:rsid w:val="00011814"/>
    <w:rsid w:val="00014146"/>
    <w:rsid w:val="00014BC5"/>
    <w:rsid w:val="000165A7"/>
    <w:rsid w:val="00017432"/>
    <w:rsid w:val="00017543"/>
    <w:rsid w:val="000217E5"/>
    <w:rsid w:val="0002202F"/>
    <w:rsid w:val="000220E8"/>
    <w:rsid w:val="00023765"/>
    <w:rsid w:val="0002610D"/>
    <w:rsid w:val="00026B5E"/>
    <w:rsid w:val="00031178"/>
    <w:rsid w:val="00031C49"/>
    <w:rsid w:val="0003598E"/>
    <w:rsid w:val="000377E6"/>
    <w:rsid w:val="000429CB"/>
    <w:rsid w:val="00042B84"/>
    <w:rsid w:val="0004445F"/>
    <w:rsid w:val="00044CAB"/>
    <w:rsid w:val="00046C11"/>
    <w:rsid w:val="000473ED"/>
    <w:rsid w:val="00047D0B"/>
    <w:rsid w:val="000509EC"/>
    <w:rsid w:val="00053B97"/>
    <w:rsid w:val="00056A2A"/>
    <w:rsid w:val="000578E3"/>
    <w:rsid w:val="00060065"/>
    <w:rsid w:val="00061D41"/>
    <w:rsid w:val="00063509"/>
    <w:rsid w:val="00063822"/>
    <w:rsid w:val="00064937"/>
    <w:rsid w:val="00071A07"/>
    <w:rsid w:val="000766D3"/>
    <w:rsid w:val="00076A31"/>
    <w:rsid w:val="000777AB"/>
    <w:rsid w:val="00082146"/>
    <w:rsid w:val="00082D5B"/>
    <w:rsid w:val="00082F94"/>
    <w:rsid w:val="00084DE3"/>
    <w:rsid w:val="00085484"/>
    <w:rsid w:val="00085F72"/>
    <w:rsid w:val="00090357"/>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E1E50"/>
    <w:rsid w:val="000E25DE"/>
    <w:rsid w:val="000E38BA"/>
    <w:rsid w:val="000E47BC"/>
    <w:rsid w:val="000E4C88"/>
    <w:rsid w:val="000F1782"/>
    <w:rsid w:val="000F3D72"/>
    <w:rsid w:val="000F54C0"/>
    <w:rsid w:val="0010196B"/>
    <w:rsid w:val="00102C10"/>
    <w:rsid w:val="00105101"/>
    <w:rsid w:val="00106318"/>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39EB"/>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245C"/>
    <w:rsid w:val="001C48B2"/>
    <w:rsid w:val="001C6495"/>
    <w:rsid w:val="001C6EE5"/>
    <w:rsid w:val="001C7E3D"/>
    <w:rsid w:val="001D0886"/>
    <w:rsid w:val="001D0AAB"/>
    <w:rsid w:val="001D21BB"/>
    <w:rsid w:val="001D3193"/>
    <w:rsid w:val="001D3C8C"/>
    <w:rsid w:val="001D62E2"/>
    <w:rsid w:val="001E618E"/>
    <w:rsid w:val="001E67F5"/>
    <w:rsid w:val="001E6A1B"/>
    <w:rsid w:val="001E6EBE"/>
    <w:rsid w:val="001E70E8"/>
    <w:rsid w:val="001F0B3B"/>
    <w:rsid w:val="001F3CE1"/>
    <w:rsid w:val="001F5DA6"/>
    <w:rsid w:val="001F7225"/>
    <w:rsid w:val="001F72A3"/>
    <w:rsid w:val="001F7599"/>
    <w:rsid w:val="00200030"/>
    <w:rsid w:val="0020165C"/>
    <w:rsid w:val="00201E56"/>
    <w:rsid w:val="00202EA8"/>
    <w:rsid w:val="00204B07"/>
    <w:rsid w:val="0020709B"/>
    <w:rsid w:val="0021013C"/>
    <w:rsid w:val="00212425"/>
    <w:rsid w:val="00212886"/>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23D6"/>
    <w:rsid w:val="0026332C"/>
    <w:rsid w:val="0026333F"/>
    <w:rsid w:val="002636BF"/>
    <w:rsid w:val="00263D17"/>
    <w:rsid w:val="002645BC"/>
    <w:rsid w:val="00265655"/>
    <w:rsid w:val="00265C1D"/>
    <w:rsid w:val="002668AE"/>
    <w:rsid w:val="00267542"/>
    <w:rsid w:val="002715C6"/>
    <w:rsid w:val="00273D99"/>
    <w:rsid w:val="00276DB8"/>
    <w:rsid w:val="00277A1D"/>
    <w:rsid w:val="0028492E"/>
    <w:rsid w:val="00284AE8"/>
    <w:rsid w:val="00286D32"/>
    <w:rsid w:val="00286EF0"/>
    <w:rsid w:val="0029011F"/>
    <w:rsid w:val="00292871"/>
    <w:rsid w:val="002928CD"/>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36055"/>
    <w:rsid w:val="00337473"/>
    <w:rsid w:val="00340B77"/>
    <w:rsid w:val="003412C1"/>
    <w:rsid w:val="003417D5"/>
    <w:rsid w:val="0034463A"/>
    <w:rsid w:val="00352501"/>
    <w:rsid w:val="00352EE4"/>
    <w:rsid w:val="0035371D"/>
    <w:rsid w:val="00354FB5"/>
    <w:rsid w:val="00355458"/>
    <w:rsid w:val="003565AB"/>
    <w:rsid w:val="00357DFA"/>
    <w:rsid w:val="00361DCF"/>
    <w:rsid w:val="00366ADB"/>
    <w:rsid w:val="00366B13"/>
    <w:rsid w:val="00367710"/>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2DBB"/>
    <w:rsid w:val="003E59C7"/>
    <w:rsid w:val="003E5CAB"/>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3903"/>
    <w:rsid w:val="00437A83"/>
    <w:rsid w:val="0044002D"/>
    <w:rsid w:val="00440946"/>
    <w:rsid w:val="00440B2D"/>
    <w:rsid w:val="00442B81"/>
    <w:rsid w:val="00442F04"/>
    <w:rsid w:val="004463EE"/>
    <w:rsid w:val="0045194E"/>
    <w:rsid w:val="0045265E"/>
    <w:rsid w:val="00461D1B"/>
    <w:rsid w:val="004625AD"/>
    <w:rsid w:val="0046439F"/>
    <w:rsid w:val="00464A86"/>
    <w:rsid w:val="0047074E"/>
    <w:rsid w:val="004707E3"/>
    <w:rsid w:val="00470C8D"/>
    <w:rsid w:val="00477E67"/>
    <w:rsid w:val="0048137D"/>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12F4"/>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0292"/>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0C69"/>
    <w:rsid w:val="00573A14"/>
    <w:rsid w:val="00573A69"/>
    <w:rsid w:val="00574494"/>
    <w:rsid w:val="00575B45"/>
    <w:rsid w:val="005764A1"/>
    <w:rsid w:val="00580FFE"/>
    <w:rsid w:val="00581344"/>
    <w:rsid w:val="00581532"/>
    <w:rsid w:val="005821DE"/>
    <w:rsid w:val="005824C6"/>
    <w:rsid w:val="005825F5"/>
    <w:rsid w:val="00583AE4"/>
    <w:rsid w:val="00585221"/>
    <w:rsid w:val="00591FD3"/>
    <w:rsid w:val="00593856"/>
    <w:rsid w:val="005947C1"/>
    <w:rsid w:val="0059623B"/>
    <w:rsid w:val="0059702D"/>
    <w:rsid w:val="00597604"/>
    <w:rsid w:val="00597ED0"/>
    <w:rsid w:val="005A1AFF"/>
    <w:rsid w:val="005A4B63"/>
    <w:rsid w:val="005A6267"/>
    <w:rsid w:val="005A69AB"/>
    <w:rsid w:val="005B1996"/>
    <w:rsid w:val="005B26A0"/>
    <w:rsid w:val="005B4B5F"/>
    <w:rsid w:val="005C0A8D"/>
    <w:rsid w:val="005C13CF"/>
    <w:rsid w:val="005C3455"/>
    <w:rsid w:val="005C3FA1"/>
    <w:rsid w:val="005D2573"/>
    <w:rsid w:val="005D257E"/>
    <w:rsid w:val="005D3D31"/>
    <w:rsid w:val="005D3DB3"/>
    <w:rsid w:val="005D441F"/>
    <w:rsid w:val="005D4A34"/>
    <w:rsid w:val="005E0384"/>
    <w:rsid w:val="005E1F3E"/>
    <w:rsid w:val="005E4F04"/>
    <w:rsid w:val="005E5155"/>
    <w:rsid w:val="005F046B"/>
    <w:rsid w:val="005F2ED9"/>
    <w:rsid w:val="005F328C"/>
    <w:rsid w:val="005F3D46"/>
    <w:rsid w:val="005F3F41"/>
    <w:rsid w:val="005F54A7"/>
    <w:rsid w:val="0060167B"/>
    <w:rsid w:val="00603D5C"/>
    <w:rsid w:val="00605329"/>
    <w:rsid w:val="006067A0"/>
    <w:rsid w:val="00606B04"/>
    <w:rsid w:val="006072F9"/>
    <w:rsid w:val="006078A6"/>
    <w:rsid w:val="006105DD"/>
    <w:rsid w:val="00611542"/>
    <w:rsid w:val="006117F1"/>
    <w:rsid w:val="00611C29"/>
    <w:rsid w:val="006143A9"/>
    <w:rsid w:val="0061522F"/>
    <w:rsid w:val="0061526B"/>
    <w:rsid w:val="00616069"/>
    <w:rsid w:val="00623505"/>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319E"/>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F75"/>
    <w:rsid w:val="006D3209"/>
    <w:rsid w:val="006D34F2"/>
    <w:rsid w:val="006E0FA2"/>
    <w:rsid w:val="006E1371"/>
    <w:rsid w:val="006E207D"/>
    <w:rsid w:val="006E2171"/>
    <w:rsid w:val="006E3540"/>
    <w:rsid w:val="006E5438"/>
    <w:rsid w:val="006E5695"/>
    <w:rsid w:val="006E7271"/>
    <w:rsid w:val="006E7CD9"/>
    <w:rsid w:val="006F0B47"/>
    <w:rsid w:val="006F2BEC"/>
    <w:rsid w:val="006F56BC"/>
    <w:rsid w:val="006F6BFD"/>
    <w:rsid w:val="006F7A97"/>
    <w:rsid w:val="00701002"/>
    <w:rsid w:val="00702547"/>
    <w:rsid w:val="0070436E"/>
    <w:rsid w:val="00705206"/>
    <w:rsid w:val="00706492"/>
    <w:rsid w:val="00710053"/>
    <w:rsid w:val="00710B75"/>
    <w:rsid w:val="0071359E"/>
    <w:rsid w:val="0071472A"/>
    <w:rsid w:val="00715BBE"/>
    <w:rsid w:val="007209C3"/>
    <w:rsid w:val="0072354F"/>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382"/>
    <w:rsid w:val="007635F8"/>
    <w:rsid w:val="00765095"/>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B609B"/>
    <w:rsid w:val="007C3108"/>
    <w:rsid w:val="007D293B"/>
    <w:rsid w:val="007D33A8"/>
    <w:rsid w:val="007D757F"/>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41778"/>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4324"/>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2FB4"/>
    <w:rsid w:val="009345B4"/>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5E7C"/>
    <w:rsid w:val="009662B7"/>
    <w:rsid w:val="009676D7"/>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0D43"/>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77EEE"/>
    <w:rsid w:val="00A825F1"/>
    <w:rsid w:val="00A82919"/>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CC2"/>
    <w:rsid w:val="00AE2EAE"/>
    <w:rsid w:val="00AE55FA"/>
    <w:rsid w:val="00AE6959"/>
    <w:rsid w:val="00AF02DC"/>
    <w:rsid w:val="00AF0778"/>
    <w:rsid w:val="00AF3DD5"/>
    <w:rsid w:val="00AF3E8A"/>
    <w:rsid w:val="00AF41CF"/>
    <w:rsid w:val="00AF53C5"/>
    <w:rsid w:val="00AF7F02"/>
    <w:rsid w:val="00B01197"/>
    <w:rsid w:val="00B04519"/>
    <w:rsid w:val="00B04886"/>
    <w:rsid w:val="00B11F1B"/>
    <w:rsid w:val="00B14F3B"/>
    <w:rsid w:val="00B15040"/>
    <w:rsid w:val="00B20DF0"/>
    <w:rsid w:val="00B21959"/>
    <w:rsid w:val="00B22564"/>
    <w:rsid w:val="00B2512B"/>
    <w:rsid w:val="00B268B0"/>
    <w:rsid w:val="00B27012"/>
    <w:rsid w:val="00B3207D"/>
    <w:rsid w:val="00B3689C"/>
    <w:rsid w:val="00B4029B"/>
    <w:rsid w:val="00B419B1"/>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91E"/>
    <w:rsid w:val="00B93FB3"/>
    <w:rsid w:val="00B954C7"/>
    <w:rsid w:val="00BA121C"/>
    <w:rsid w:val="00BA2F41"/>
    <w:rsid w:val="00BA4AC7"/>
    <w:rsid w:val="00BA56EF"/>
    <w:rsid w:val="00BA7DB3"/>
    <w:rsid w:val="00BB079A"/>
    <w:rsid w:val="00BB079E"/>
    <w:rsid w:val="00BB3D4D"/>
    <w:rsid w:val="00BB49A2"/>
    <w:rsid w:val="00BB56B3"/>
    <w:rsid w:val="00BC10FA"/>
    <w:rsid w:val="00BC2169"/>
    <w:rsid w:val="00BC2756"/>
    <w:rsid w:val="00BC328F"/>
    <w:rsid w:val="00BC4FD9"/>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0CF9"/>
    <w:rsid w:val="00C0532F"/>
    <w:rsid w:val="00C0625B"/>
    <w:rsid w:val="00C0686E"/>
    <w:rsid w:val="00C071A9"/>
    <w:rsid w:val="00C0770D"/>
    <w:rsid w:val="00C101B1"/>
    <w:rsid w:val="00C11ABF"/>
    <w:rsid w:val="00C11E91"/>
    <w:rsid w:val="00C1280E"/>
    <w:rsid w:val="00C12C2C"/>
    <w:rsid w:val="00C138DE"/>
    <w:rsid w:val="00C13E5A"/>
    <w:rsid w:val="00C15AB4"/>
    <w:rsid w:val="00C20124"/>
    <w:rsid w:val="00C23038"/>
    <w:rsid w:val="00C2338F"/>
    <w:rsid w:val="00C26A1A"/>
    <w:rsid w:val="00C331AC"/>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44C4"/>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3E"/>
    <w:rsid w:val="00CD5857"/>
    <w:rsid w:val="00CD6969"/>
    <w:rsid w:val="00CE09CD"/>
    <w:rsid w:val="00CE4FED"/>
    <w:rsid w:val="00CE6CC1"/>
    <w:rsid w:val="00CE77C8"/>
    <w:rsid w:val="00CF2BE5"/>
    <w:rsid w:val="00CF2E06"/>
    <w:rsid w:val="00CF5117"/>
    <w:rsid w:val="00CF6FEA"/>
    <w:rsid w:val="00CF7A76"/>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1C96"/>
    <w:rsid w:val="00D2358B"/>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511F2"/>
    <w:rsid w:val="00D6082B"/>
    <w:rsid w:val="00D60970"/>
    <w:rsid w:val="00D650FD"/>
    <w:rsid w:val="00D7150D"/>
    <w:rsid w:val="00D71914"/>
    <w:rsid w:val="00D74F96"/>
    <w:rsid w:val="00D76628"/>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5A96"/>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C86"/>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2752"/>
    <w:rsid w:val="00E6434E"/>
    <w:rsid w:val="00E65E28"/>
    <w:rsid w:val="00E7093B"/>
    <w:rsid w:val="00E72A3F"/>
    <w:rsid w:val="00E74B7F"/>
    <w:rsid w:val="00E75048"/>
    <w:rsid w:val="00E76BB1"/>
    <w:rsid w:val="00E776DA"/>
    <w:rsid w:val="00E777A3"/>
    <w:rsid w:val="00E80BDA"/>
    <w:rsid w:val="00E81615"/>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2B8F"/>
    <w:rsid w:val="00EA387A"/>
    <w:rsid w:val="00EA3D6D"/>
    <w:rsid w:val="00EA4619"/>
    <w:rsid w:val="00EB0436"/>
    <w:rsid w:val="00EB2080"/>
    <w:rsid w:val="00EB3E72"/>
    <w:rsid w:val="00EB5105"/>
    <w:rsid w:val="00EB73CE"/>
    <w:rsid w:val="00EC13F6"/>
    <w:rsid w:val="00EC1A95"/>
    <w:rsid w:val="00EC454D"/>
    <w:rsid w:val="00EC5E17"/>
    <w:rsid w:val="00EC5E7F"/>
    <w:rsid w:val="00EC7CE9"/>
    <w:rsid w:val="00ED1B2D"/>
    <w:rsid w:val="00ED4360"/>
    <w:rsid w:val="00ED60FD"/>
    <w:rsid w:val="00ED7306"/>
    <w:rsid w:val="00EE228A"/>
    <w:rsid w:val="00EE27C6"/>
    <w:rsid w:val="00EE360B"/>
    <w:rsid w:val="00EE3E99"/>
    <w:rsid w:val="00EE66D6"/>
    <w:rsid w:val="00EF1F2A"/>
    <w:rsid w:val="00EF26DE"/>
    <w:rsid w:val="00EF4ED1"/>
    <w:rsid w:val="00EF5AA9"/>
    <w:rsid w:val="00F00902"/>
    <w:rsid w:val="00F032A0"/>
    <w:rsid w:val="00F03BC1"/>
    <w:rsid w:val="00F03D8C"/>
    <w:rsid w:val="00F04BCB"/>
    <w:rsid w:val="00F076CB"/>
    <w:rsid w:val="00F10478"/>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192F"/>
    <w:rsid w:val="00F6429D"/>
    <w:rsid w:val="00F649AC"/>
    <w:rsid w:val="00F65D6D"/>
    <w:rsid w:val="00F66445"/>
    <w:rsid w:val="00F729C8"/>
    <w:rsid w:val="00F72DD1"/>
    <w:rsid w:val="00F74DA1"/>
    <w:rsid w:val="00F752D3"/>
    <w:rsid w:val="00F75DB5"/>
    <w:rsid w:val="00F76AB0"/>
    <w:rsid w:val="00F76C2A"/>
    <w:rsid w:val="00F776E4"/>
    <w:rsid w:val="00F82BEF"/>
    <w:rsid w:val="00F90118"/>
    <w:rsid w:val="00F913CA"/>
    <w:rsid w:val="00F91597"/>
    <w:rsid w:val="00F9366D"/>
    <w:rsid w:val="00F936A5"/>
    <w:rsid w:val="00F93E6F"/>
    <w:rsid w:val="00F94074"/>
    <w:rsid w:val="00F9432A"/>
    <w:rsid w:val="00F946C8"/>
    <w:rsid w:val="00F9545A"/>
    <w:rsid w:val="00F978AA"/>
    <w:rsid w:val="00F97A44"/>
    <w:rsid w:val="00FA0702"/>
    <w:rsid w:val="00FA1C78"/>
    <w:rsid w:val="00FA1DD9"/>
    <w:rsid w:val="00FA7231"/>
    <w:rsid w:val="00FA7451"/>
    <w:rsid w:val="00FA7BC8"/>
    <w:rsid w:val="00FB0B7F"/>
    <w:rsid w:val="00FB2794"/>
    <w:rsid w:val="00FB2F05"/>
    <w:rsid w:val="00FB3952"/>
    <w:rsid w:val="00FB62EC"/>
    <w:rsid w:val="00FC08E8"/>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6615"/>
    <w:rsid w:val="00FE777D"/>
    <w:rsid w:val="00FF0E18"/>
    <w:rsid w:val="00FF1547"/>
    <w:rsid w:val="00FF285C"/>
    <w:rsid w:val="00FF581F"/>
    <w:rsid w:val="00FF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1"/>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4"/>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7">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a"/>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b"/>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c"/>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e"/>
    <w:uiPriority w:val="99"/>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2"/>
    <w:unhideWhenUsed/>
    <w:rsid w:val="00335662"/>
    <w:rPr>
      <w:sz w:val="20"/>
    </w:rPr>
  </w:style>
  <w:style w:type="character" w:customStyle="1" w:styleId="1f2">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f"/>
    <w:next w:val="1f"/>
    <w:link w:val="1f3"/>
    <w:rsid w:val="00335662"/>
    <w:rPr>
      <w:b/>
      <w:bCs/>
    </w:rPr>
  </w:style>
  <w:style w:type="character" w:customStyle="1" w:styleId="1f3">
    <w:name w:val="Тема примечания Знак1"/>
    <w:basedOn w:val="1f2"/>
    <w:link w:val="aff8"/>
    <w:rsid w:val="00335662"/>
    <w:rPr>
      <w:rFonts w:ascii="Times New Roman" w:hAnsi="Times New Roman" w:cs="Times New Roman"/>
      <w:b/>
      <w:bCs/>
      <w:snapToGrid w:val="0"/>
      <w:sz w:val="20"/>
      <w:szCs w:val="20"/>
      <w:lang w:eastAsia="ar-SA"/>
    </w:rPr>
  </w:style>
  <w:style w:type="paragraph" w:styleId="aff9">
    <w:name w:val="Balloon Text"/>
    <w:basedOn w:val="a"/>
    <w:link w:val="1f4"/>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b"/>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c">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d"/>
    <w:rsid w:val="00335662"/>
  </w:style>
  <w:style w:type="character" w:customStyle="1" w:styleId="1fd">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e"/>
    <w:uiPriority w:val="99"/>
    <w:rsid w:val="00335662"/>
  </w:style>
  <w:style w:type="character" w:customStyle="1" w:styleId="1fe">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0">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5"/>
    <w:uiPriority w:val="1"/>
    <w:rsid w:val="006E7CD9"/>
    <w:rPr>
      <w:rFonts w:ascii="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WWNum374"/>
    <w:pPr>
      <w:numPr>
        <w:numId w:val="36"/>
      </w:numPr>
    </w:pPr>
  </w:style>
  <w:style w:type="numbering" w:customStyle="1" w:styleId="a4">
    <w:name w:val="WWNum217"/>
    <w:pPr>
      <w:numPr>
        <w:numId w:val="21"/>
      </w:numPr>
    </w:pPr>
  </w:style>
  <w:style w:type="numbering" w:customStyle="1" w:styleId="11">
    <w:name w:val="WWNum424"/>
    <w:pPr>
      <w:numPr>
        <w:numId w:val="41"/>
      </w:numPr>
    </w:pPr>
  </w:style>
  <w:style w:type="numbering" w:customStyle="1" w:styleId="Normal">
    <w:name w:val="WWNum254"/>
    <w:pPr>
      <w:numPr>
        <w:numId w:val="24"/>
      </w:numPr>
    </w:pPr>
  </w:style>
  <w:style w:type="numbering" w:customStyle="1" w:styleId="Default">
    <w:name w:val="WWNum364"/>
    <w:pPr>
      <w:numPr>
        <w:numId w:val="35"/>
      </w:numPr>
    </w:pPr>
  </w:style>
  <w:style w:type="numbering" w:customStyle="1" w:styleId="a5">
    <w:name w:val="WWNum216"/>
    <w:pPr>
      <w:numPr>
        <w:numId w:val="3"/>
      </w:numPr>
    </w:pPr>
  </w:style>
  <w:style w:type="numbering" w:customStyle="1" w:styleId="a6">
    <w:name w:val="WWNum94"/>
    <w:pPr>
      <w:numPr>
        <w:numId w:val="10"/>
      </w:numPr>
    </w:pPr>
  </w:style>
  <w:style w:type="numbering" w:customStyle="1" w:styleId="ConsNormal">
    <w:name w:val="WWNum116"/>
    <w:pPr>
      <w:numPr>
        <w:numId w:val="2"/>
      </w:numPr>
    </w:pPr>
  </w:style>
  <w:style w:type="numbering" w:customStyle="1" w:styleId="WW8Num2z1">
    <w:name w:val="WWNum184"/>
    <w:pPr>
      <w:numPr>
        <w:numId w:val="19"/>
      </w:numPr>
    </w:pPr>
  </w:style>
  <w:style w:type="numbering" w:customStyle="1" w:styleId="WW8Num4z0">
    <w:name w:val="WWNum494"/>
    <w:pPr>
      <w:numPr>
        <w:numId w:val="48"/>
      </w:numPr>
    </w:pPr>
  </w:style>
  <w:style w:type="numbering" w:customStyle="1" w:styleId="WW8Num5z1">
    <w:name w:val="WWNum354"/>
    <w:pPr>
      <w:numPr>
        <w:numId w:val="34"/>
      </w:numPr>
    </w:pPr>
  </w:style>
  <w:style w:type="numbering" w:customStyle="1" w:styleId="a7">
    <w:name w:val="WWNum64"/>
    <w:pPr>
      <w:numPr>
        <w:numId w:val="7"/>
      </w:numPr>
    </w:pPr>
  </w:style>
  <w:style w:type="numbering" w:customStyle="1" w:styleId="10">
    <w:name w:val="WWNum404"/>
    <w:pPr>
      <w:numPr>
        <w:numId w:val="39"/>
      </w:numPr>
    </w:pPr>
  </w:style>
  <w:style w:type="numbering" w:customStyle="1" w:styleId="20">
    <w:name w:val="WWNum56"/>
    <w:pPr>
      <w:numPr>
        <w:numId w:val="6"/>
      </w:numPr>
    </w:pPr>
  </w:style>
  <w:style w:type="numbering" w:customStyle="1" w:styleId="30">
    <w:name w:val="WWNum284"/>
    <w:pPr>
      <w:numPr>
        <w:numId w:val="27"/>
      </w:numPr>
    </w:pPr>
  </w:style>
  <w:style w:type="numbering" w:customStyle="1" w:styleId="40">
    <w:name w:val="WWNum224"/>
    <w:pPr>
      <w:numPr>
        <w:numId w:val="22"/>
      </w:numPr>
    </w:pPr>
  </w:style>
  <w:style w:type="numbering" w:customStyle="1" w:styleId="13">
    <w:name w:val="WWNum514"/>
    <w:pPr>
      <w:numPr>
        <w:numId w:val="50"/>
      </w:numPr>
    </w:pPr>
  </w:style>
  <w:style w:type="numbering" w:customStyle="1" w:styleId="WW8Num3z2">
    <w:name w:val="WWNum18"/>
    <w:pPr>
      <w:numPr>
        <w:numId w:val="20"/>
      </w:numPr>
    </w:pPr>
  </w:style>
  <w:style w:type="numbering" w:customStyle="1" w:styleId="WW8Num5z0">
    <w:name w:val="WWNum316"/>
    <w:pPr>
      <w:numPr>
        <w:numId w:val="4"/>
      </w:numPr>
    </w:pPr>
  </w:style>
  <w:style w:type="numbering" w:customStyle="1" w:styleId="WW8Num5z2">
    <w:name w:val="WWNum154"/>
    <w:pPr>
      <w:numPr>
        <w:numId w:val="16"/>
      </w:numPr>
    </w:pPr>
  </w:style>
  <w:style w:type="numbering" w:customStyle="1" w:styleId="WW8Num6z2">
    <w:name w:val="WWNum134"/>
    <w:pPr>
      <w:numPr>
        <w:numId w:val="14"/>
      </w:numPr>
    </w:pPr>
  </w:style>
  <w:style w:type="numbering" w:customStyle="1" w:styleId="WW8Num7z2">
    <w:name w:val="WWNum434"/>
    <w:pPr>
      <w:numPr>
        <w:numId w:val="42"/>
      </w:numPr>
    </w:pPr>
  </w:style>
  <w:style w:type="numbering" w:customStyle="1" w:styleId="WW8Num8z0">
    <w:name w:val="WWNum524"/>
    <w:pPr>
      <w:numPr>
        <w:numId w:val="51"/>
      </w:numPr>
    </w:pPr>
  </w:style>
  <w:style w:type="numbering" w:customStyle="1" w:styleId="WW8Num8z1">
    <w:name w:val="WWNum174"/>
    <w:pPr>
      <w:numPr>
        <w:numId w:val="18"/>
      </w:numPr>
    </w:pPr>
  </w:style>
  <w:style w:type="numbering" w:customStyle="1" w:styleId="WW8Num8z2">
    <w:name w:val="WWNum384"/>
    <w:pPr>
      <w:numPr>
        <w:numId w:val="37"/>
      </w:numPr>
    </w:pPr>
  </w:style>
  <w:style w:type="numbering" w:customStyle="1" w:styleId="WW8Num8z3">
    <w:name w:val="WWNum117"/>
    <w:pPr>
      <w:numPr>
        <w:numId w:val="12"/>
      </w:numPr>
    </w:pPr>
  </w:style>
  <w:style w:type="numbering" w:customStyle="1" w:styleId="WW8Num9z0">
    <w:name w:val="WWNum294"/>
    <w:pPr>
      <w:numPr>
        <w:numId w:val="28"/>
      </w:numPr>
    </w:pPr>
  </w:style>
  <w:style w:type="numbering" w:customStyle="1" w:styleId="WW8Num9z1">
    <w:name w:val="WWNum194"/>
    <w:pPr>
      <w:numPr>
        <w:numId w:val="54"/>
      </w:numPr>
    </w:pPr>
  </w:style>
  <w:style w:type="numbering" w:customStyle="1" w:styleId="WW8Num9z2">
    <w:name w:val="WWNum84"/>
    <w:pPr>
      <w:numPr>
        <w:numId w:val="9"/>
      </w:numPr>
    </w:pPr>
  </w:style>
  <w:style w:type="numbering" w:customStyle="1" w:styleId="WW8Num9z3">
    <w:name w:val="WWNum324"/>
    <w:pPr>
      <w:numPr>
        <w:numId w:val="31"/>
      </w:numPr>
    </w:pPr>
  </w:style>
  <w:style w:type="numbering" w:customStyle="1" w:styleId="WW8Num11z0">
    <w:name w:val="WWNum74"/>
    <w:pPr>
      <w:numPr>
        <w:numId w:val="8"/>
      </w:numPr>
    </w:pPr>
  </w:style>
  <w:style w:type="numbering" w:customStyle="1" w:styleId="WW8Num12z0">
    <w:name w:val="WWNum416"/>
    <w:pPr>
      <w:numPr>
        <w:numId w:val="5"/>
      </w:numPr>
    </w:pPr>
  </w:style>
  <w:style w:type="numbering" w:customStyle="1" w:styleId="WW8Num12z1">
    <w:name w:val="WWNum344"/>
    <w:pPr>
      <w:numPr>
        <w:numId w:val="33"/>
      </w:numPr>
    </w:pPr>
  </w:style>
  <w:style w:type="numbering" w:customStyle="1" w:styleId="WW8Num12z2">
    <w:name w:val="WWNum474"/>
    <w:pPr>
      <w:numPr>
        <w:numId w:val="46"/>
      </w:numPr>
    </w:pPr>
  </w:style>
  <w:style w:type="numbering" w:customStyle="1" w:styleId="WW8Num12z3">
    <w:name w:val="WWNum504"/>
    <w:pPr>
      <w:numPr>
        <w:numId w:val="49"/>
      </w:numPr>
    </w:pPr>
  </w:style>
  <w:style w:type="numbering" w:customStyle="1" w:styleId="WW8Num16z0">
    <w:name w:val="WWNum124"/>
    <w:pPr>
      <w:numPr>
        <w:numId w:val="13"/>
      </w:numPr>
    </w:pPr>
  </w:style>
  <w:style w:type="numbering" w:customStyle="1" w:styleId="WW8Num16z1">
    <w:name w:val="WWNum304"/>
    <w:pPr>
      <w:numPr>
        <w:numId w:val="29"/>
      </w:numPr>
    </w:pPr>
  </w:style>
  <w:style w:type="numbering" w:customStyle="1" w:styleId="WW8Num16z2">
    <w:name w:val="WWNum334"/>
    <w:pPr>
      <w:numPr>
        <w:numId w:val="32"/>
      </w:numPr>
    </w:pPr>
  </w:style>
  <w:style w:type="numbering" w:customStyle="1" w:styleId="WW8Num17z0">
    <w:name w:val="WWNum317"/>
    <w:pPr>
      <w:numPr>
        <w:numId w:val="30"/>
      </w:numPr>
    </w:pPr>
  </w:style>
  <w:style w:type="numbering" w:customStyle="1" w:styleId="WW8Num17z1">
    <w:name w:val="WWNum454"/>
    <w:pPr>
      <w:numPr>
        <w:numId w:val="44"/>
      </w:numPr>
    </w:pPr>
  </w:style>
  <w:style w:type="numbering" w:customStyle="1" w:styleId="WW8Num17z2">
    <w:name w:val="WWNum164"/>
    <w:pPr>
      <w:numPr>
        <w:numId w:val="17"/>
      </w:numPr>
    </w:pPr>
  </w:style>
  <w:style w:type="numbering" w:customStyle="1" w:styleId="WW8Num17z3">
    <w:name w:val="WWNum394"/>
    <w:pPr>
      <w:numPr>
        <w:numId w:val="38"/>
      </w:numPr>
    </w:pPr>
  </w:style>
  <w:style w:type="numbering" w:customStyle="1" w:styleId="WW8Num18z2">
    <w:name w:val="WWNum274"/>
    <w:pPr>
      <w:numPr>
        <w:numId w:val="26"/>
      </w:numPr>
    </w:pPr>
  </w:style>
  <w:style w:type="numbering" w:customStyle="1" w:styleId="WW8Num21z0">
    <w:name w:val="WWNum24"/>
    <w:pPr>
      <w:numPr>
        <w:numId w:val="53"/>
      </w:numPr>
    </w:pPr>
  </w:style>
  <w:style w:type="numbering" w:customStyle="1" w:styleId="WW8Num21z1">
    <w:name w:val="WWNum264"/>
    <w:pPr>
      <w:numPr>
        <w:numId w:val="25"/>
      </w:numPr>
    </w:pPr>
  </w:style>
  <w:style w:type="numbering" w:customStyle="1" w:styleId="WW8Num24z0">
    <w:name w:val="WWNum484"/>
    <w:pPr>
      <w:numPr>
        <w:numId w:val="47"/>
      </w:numPr>
    </w:pPr>
  </w:style>
  <w:style w:type="numbering" w:customStyle="1" w:styleId="WW8Num24z1">
    <w:name w:val="WWNum204"/>
    <w:pPr>
      <w:numPr>
        <w:numId w:val="55"/>
      </w:numPr>
    </w:pPr>
  </w:style>
  <w:style w:type="numbering" w:customStyle="1" w:styleId="WW8Num24z2">
    <w:name w:val="WWNum144"/>
    <w:pPr>
      <w:numPr>
        <w:numId w:val="15"/>
      </w:numPr>
    </w:pPr>
  </w:style>
  <w:style w:type="numbering" w:customStyle="1" w:styleId="WW8Num24z3">
    <w:name w:val="WWNum417"/>
    <w:pPr>
      <w:numPr>
        <w:numId w:val="40"/>
      </w:numPr>
    </w:pPr>
  </w:style>
  <w:style w:type="numbering" w:customStyle="1" w:styleId="14">
    <w:name w:val="WWNum104"/>
    <w:pPr>
      <w:numPr>
        <w:numId w:val="11"/>
      </w:numPr>
    </w:pPr>
  </w:style>
  <w:style w:type="numbering" w:customStyle="1" w:styleId="21">
    <w:name w:val="WWNum464"/>
    <w:pPr>
      <w:numPr>
        <w:numId w:val="45"/>
      </w:numPr>
    </w:pPr>
  </w:style>
  <w:style w:type="numbering" w:customStyle="1" w:styleId="a8">
    <w:name w:val="WWNum244"/>
    <w:pPr>
      <w:numPr>
        <w:numId w:val="52"/>
      </w:numPr>
    </w:pPr>
  </w:style>
  <w:style w:type="numbering" w:customStyle="1" w:styleId="a9">
    <w:name w:val="WWNum444"/>
    <w:pPr>
      <w:numPr>
        <w:numId w:val="43"/>
      </w:numPr>
    </w:pPr>
  </w:style>
  <w:style w:type="numbering" w:customStyle="1" w:styleId="aa">
    <w:name w:val="WWNum234"/>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32001-08F5-4764-A713-24F08FDB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713</Words>
  <Characters>4065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Медведева Мария Павловна</cp:lastModifiedBy>
  <cp:revision>159</cp:revision>
  <cp:lastPrinted>2018-01-15T11:39:00Z</cp:lastPrinted>
  <dcterms:created xsi:type="dcterms:W3CDTF">2018-03-07T11:34:00Z</dcterms:created>
  <dcterms:modified xsi:type="dcterms:W3CDTF">2025-03-06T12:15:00Z</dcterms:modified>
</cp:coreProperties>
</file>