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FC" w:rsidRDefault="003E5E59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7FC" w:rsidRDefault="00D877FC">
      <w:pPr>
        <w:pStyle w:val="a3"/>
        <w:spacing w:before="59"/>
        <w:rPr>
          <w:sz w:val="20"/>
        </w:rPr>
      </w:pPr>
    </w:p>
    <w:p w:rsidR="00D877FC" w:rsidRDefault="00D877FC">
      <w:pPr>
        <w:rPr>
          <w:sz w:val="20"/>
        </w:rPr>
        <w:sectPr w:rsidR="00D877FC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D877FC" w:rsidRDefault="003E5E59">
      <w:pPr>
        <w:spacing w:before="90"/>
        <w:ind w:left="714" w:right="153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lastRenderedPageBreak/>
        <w:t>ФИЛИАЛ</w:t>
      </w:r>
    </w:p>
    <w:p w:rsidR="00D877FC" w:rsidRDefault="003E5E59">
      <w:pPr>
        <w:spacing w:before="4" w:line="242" w:lineRule="auto"/>
        <w:ind w:left="714" w:right="151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 xml:space="preserve">«ТРАНСКОНТЕЙНЕР» </w:t>
      </w:r>
      <w:r>
        <w:rPr>
          <w:b/>
          <w:color w:val="053658"/>
          <w:sz w:val="24"/>
        </w:rPr>
        <w:t>НА ГОРЬКОВСКОЙ ЖЕЛЕЗНОЙ ДОРОГЕ</w:t>
      </w:r>
    </w:p>
    <w:p w:rsidR="00D877FC" w:rsidRDefault="00D877FC">
      <w:pPr>
        <w:pStyle w:val="a3"/>
        <w:spacing w:before="33"/>
        <w:rPr>
          <w:b/>
          <w:sz w:val="24"/>
        </w:rPr>
      </w:pPr>
    </w:p>
    <w:p w:rsidR="00D877FC" w:rsidRDefault="003E5E59">
      <w:pPr>
        <w:spacing w:before="1" w:line="228" w:lineRule="auto"/>
        <w:ind w:left="1016" w:right="444"/>
        <w:jc w:val="center"/>
      </w:pPr>
      <w:r>
        <w:rPr>
          <w:color w:val="053658"/>
        </w:rPr>
        <w:t>ул.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Московское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шоссе,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17А, г. Нижний Новгород, 603116 Тел.: 8 800 100-22-20</w:t>
      </w:r>
    </w:p>
    <w:p w:rsidR="00D877FC" w:rsidRDefault="003E5E59">
      <w:pPr>
        <w:spacing w:line="235" w:lineRule="exact"/>
        <w:ind w:left="720" w:right="151"/>
        <w:jc w:val="center"/>
      </w:pPr>
      <w:r>
        <w:rPr>
          <w:color w:val="053658"/>
        </w:rPr>
        <w:t>Факс: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(831)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275-46-</w:t>
      </w:r>
      <w:r>
        <w:rPr>
          <w:color w:val="053658"/>
          <w:spacing w:val="-5"/>
        </w:rPr>
        <w:t>50</w:t>
      </w:r>
    </w:p>
    <w:p w:rsidR="00D877FC" w:rsidRDefault="003E5E59">
      <w:pPr>
        <w:spacing w:before="3" w:line="228" w:lineRule="auto"/>
        <w:ind w:left="609" w:right="38" w:firstLine="623"/>
      </w:pPr>
      <w:r>
        <w:rPr>
          <w:color w:val="053658"/>
        </w:rPr>
        <w:t xml:space="preserve">Эл. почта: </w:t>
      </w:r>
      <w:hyperlink r:id="rId6">
        <w:r>
          <w:rPr>
            <w:color w:val="053658"/>
            <w:u w:val="single" w:color="053658"/>
          </w:rPr>
          <w:t>gzd@trcont.com</w:t>
        </w:r>
      </w:hyperlink>
      <w:r>
        <w:rPr>
          <w:color w:val="053658"/>
        </w:rPr>
        <w:t xml:space="preserve"> ОКПО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1067746341024</w:t>
      </w:r>
    </w:p>
    <w:p w:rsidR="00D877FC" w:rsidRDefault="003E5E59">
      <w:pPr>
        <w:spacing w:line="242" w:lineRule="exact"/>
        <w:ind w:left="844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997650001</w:t>
      </w:r>
    </w:p>
    <w:p w:rsidR="00D877FC" w:rsidRDefault="003E5E59" w:rsidP="001827D0">
      <w:pPr>
        <w:pStyle w:val="a3"/>
        <w:spacing w:before="92"/>
        <w:ind w:left="142"/>
        <w:jc w:val="center"/>
      </w:pPr>
      <w:r>
        <w:br w:type="column"/>
      </w:r>
    </w:p>
    <w:p w:rsidR="00D877FC" w:rsidRDefault="00D877FC">
      <w:pPr>
        <w:sectPr w:rsidR="00D877FC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</w:sectPr>
      </w:pPr>
    </w:p>
    <w:p w:rsidR="00D877FC" w:rsidRDefault="005401F5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pacing w:val="-2"/>
          <w:sz w:val="24"/>
          <w:u w:val="single" w:color="231F20"/>
        </w:rPr>
        <w:lastRenderedPageBreak/>
        <w:t>__</w:t>
      </w:r>
      <w:r w:rsidR="00893CF7">
        <w:rPr>
          <w:color w:val="231F20"/>
          <w:spacing w:val="-2"/>
          <w:sz w:val="24"/>
          <w:u w:val="single" w:color="231F20"/>
        </w:rPr>
        <w:t>__</w:t>
      </w:r>
      <w:r>
        <w:rPr>
          <w:color w:val="231F20"/>
          <w:spacing w:val="-2"/>
          <w:sz w:val="24"/>
          <w:u w:val="single" w:color="231F20"/>
        </w:rPr>
        <w:t>_____</w:t>
      </w:r>
      <w:r w:rsidR="001827D0">
        <w:rPr>
          <w:color w:val="231F20"/>
          <w:spacing w:val="-2"/>
          <w:sz w:val="24"/>
          <w:u w:val="single" w:color="231F20"/>
        </w:rPr>
        <w:t>_____</w:t>
      </w:r>
      <w:r>
        <w:rPr>
          <w:color w:val="231F20"/>
          <w:spacing w:val="-2"/>
          <w:sz w:val="24"/>
          <w:u w:val="single" w:color="231F20"/>
        </w:rPr>
        <w:t>_</w:t>
      </w:r>
      <w:r w:rsidR="00893CF7">
        <w:rPr>
          <w:color w:val="231F20"/>
          <w:spacing w:val="-2"/>
          <w:sz w:val="24"/>
          <w:u w:val="single" w:color="231F20"/>
        </w:rPr>
        <w:t>__</w:t>
      </w:r>
      <w:r>
        <w:rPr>
          <w:color w:val="231F20"/>
          <w:spacing w:val="-2"/>
          <w:sz w:val="24"/>
          <w:u w:val="single" w:color="231F20"/>
        </w:rPr>
        <w:t>__</w:t>
      </w:r>
      <w:r w:rsidR="003E5E59">
        <w:rPr>
          <w:color w:val="231F20"/>
          <w:sz w:val="24"/>
        </w:rPr>
        <w:t>№</w:t>
      </w:r>
      <w:r w:rsidR="003E5E59">
        <w:rPr>
          <w:color w:val="231F20"/>
          <w:spacing w:val="-13"/>
          <w:sz w:val="24"/>
        </w:rPr>
        <w:t xml:space="preserve"> </w:t>
      </w:r>
      <w:r w:rsidR="001827D0">
        <w:rPr>
          <w:color w:val="231F20"/>
          <w:spacing w:val="-13"/>
          <w:sz w:val="24"/>
        </w:rPr>
        <w:t>____________________</w:t>
      </w:r>
    </w:p>
    <w:p w:rsidR="00D877FC" w:rsidRDefault="003E5E59">
      <w:pPr>
        <w:tabs>
          <w:tab w:val="left" w:pos="2856"/>
        </w:tabs>
        <w:spacing w:before="178"/>
        <w:ind w:left="112"/>
        <w:rPr>
          <w:sz w:val="24"/>
        </w:rPr>
      </w:pPr>
      <w:r>
        <w:rPr>
          <w:color w:val="231F20"/>
          <w:sz w:val="24"/>
        </w:rPr>
        <w:t xml:space="preserve">на №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от </w:t>
      </w:r>
      <w:r w:rsidR="005401F5">
        <w:rPr>
          <w:color w:val="231F20"/>
          <w:sz w:val="24"/>
          <w:u w:val="single" w:color="231F20"/>
        </w:rPr>
        <w:t>_____________</w:t>
      </w:r>
    </w:p>
    <w:p w:rsidR="00D877FC" w:rsidRDefault="00D877FC">
      <w:pPr>
        <w:pStyle w:val="a3"/>
        <w:spacing w:before="105"/>
      </w:pPr>
    </w:p>
    <w:p w:rsidR="001827D0" w:rsidRPr="00BD3718" w:rsidRDefault="001827D0" w:rsidP="001827D0">
      <w:pPr>
        <w:ind w:left="3969"/>
        <w:rPr>
          <w:b/>
          <w:sz w:val="28"/>
          <w:szCs w:val="28"/>
        </w:rPr>
      </w:pPr>
      <w:r w:rsidRPr="00BD3718">
        <w:rPr>
          <w:b/>
          <w:sz w:val="28"/>
          <w:szCs w:val="28"/>
        </w:rPr>
        <w:t>ВНИМАНИЕ!</w:t>
      </w:r>
    </w:p>
    <w:p w:rsidR="001827D0" w:rsidRPr="00CC24AD" w:rsidRDefault="001827D0" w:rsidP="001827D0">
      <w:pPr>
        <w:jc w:val="both"/>
        <w:rPr>
          <w:bCs/>
        </w:rPr>
      </w:pPr>
    </w:p>
    <w:p w:rsidR="001827D0" w:rsidRDefault="001827D0" w:rsidP="001827D0">
      <w:pPr>
        <w:pStyle w:val="1"/>
        <w:suppressAutoHyphens/>
        <w:ind w:firstLine="708"/>
        <w:rPr>
          <w:sz w:val="24"/>
          <w:szCs w:val="24"/>
        </w:rPr>
      </w:pPr>
      <w:r w:rsidRPr="00FC37F1">
        <w:rPr>
          <w:bCs/>
          <w:snapToGrid w:val="0"/>
          <w:sz w:val="24"/>
          <w:szCs w:val="24"/>
        </w:rPr>
        <w:t>Филиал ПАО «</w:t>
      </w:r>
      <w:proofErr w:type="spellStart"/>
      <w:r w:rsidRPr="00FC37F1">
        <w:rPr>
          <w:bCs/>
          <w:snapToGrid w:val="0"/>
          <w:sz w:val="24"/>
          <w:szCs w:val="24"/>
        </w:rPr>
        <w:t>ТрансКонтейнер</w:t>
      </w:r>
      <w:proofErr w:type="spellEnd"/>
      <w:r w:rsidRPr="00FC37F1">
        <w:rPr>
          <w:bCs/>
          <w:snapToGrid w:val="0"/>
          <w:sz w:val="24"/>
          <w:szCs w:val="24"/>
        </w:rPr>
        <w:t>» на</w:t>
      </w:r>
      <w:r w:rsidRPr="00FC37F1">
        <w:rPr>
          <w:sz w:val="24"/>
          <w:szCs w:val="24"/>
        </w:rPr>
        <w:t xml:space="preserve"> </w:t>
      </w:r>
      <w:r>
        <w:rPr>
          <w:sz w:val="24"/>
          <w:szCs w:val="24"/>
        </w:rPr>
        <w:t>Горьковской</w:t>
      </w:r>
      <w:r w:rsidRPr="00FC37F1">
        <w:rPr>
          <w:sz w:val="24"/>
          <w:szCs w:val="24"/>
        </w:rPr>
        <w:t xml:space="preserve"> железной дороге</w:t>
      </w:r>
      <w:r w:rsidRPr="00FC37F1">
        <w:rPr>
          <w:bCs/>
          <w:snapToGrid w:val="0"/>
          <w:sz w:val="24"/>
          <w:szCs w:val="24"/>
        </w:rPr>
        <w:t xml:space="preserve"> информирует о внесении и</w:t>
      </w:r>
      <w:r w:rsidRPr="00FC37F1">
        <w:rPr>
          <w:snapToGrid w:val="0"/>
          <w:sz w:val="24"/>
          <w:szCs w:val="24"/>
        </w:rPr>
        <w:t xml:space="preserve">зменений в документацию о закупке </w:t>
      </w:r>
      <w:r w:rsidRPr="00395CA8">
        <w:rPr>
          <w:sz w:val="24"/>
          <w:szCs w:val="24"/>
        </w:rPr>
        <w:t xml:space="preserve">№ ОКэ-НКПГОРЬК-24-0003 по предмету закупки «Капитальный ремонт здания нежилого инв. №010122 на контейнерном терминале </w:t>
      </w:r>
      <w:proofErr w:type="spellStart"/>
      <w:r w:rsidRPr="00395CA8">
        <w:rPr>
          <w:sz w:val="24"/>
          <w:szCs w:val="24"/>
        </w:rPr>
        <w:t>Киров-Котласский</w:t>
      </w:r>
      <w:proofErr w:type="spellEnd"/>
      <w:r w:rsidRPr="00395CA8">
        <w:rPr>
          <w:sz w:val="24"/>
          <w:szCs w:val="24"/>
        </w:rPr>
        <w:t xml:space="preserve"> филиала ПАО "</w:t>
      </w:r>
      <w:proofErr w:type="spellStart"/>
      <w:r w:rsidRPr="00395CA8">
        <w:rPr>
          <w:sz w:val="24"/>
          <w:szCs w:val="24"/>
        </w:rPr>
        <w:t>ТрансКонтейнер</w:t>
      </w:r>
      <w:proofErr w:type="spellEnd"/>
      <w:r w:rsidRPr="00395CA8">
        <w:rPr>
          <w:sz w:val="24"/>
          <w:szCs w:val="24"/>
        </w:rPr>
        <w:t xml:space="preserve"> на Горьковской железной дороге»</w:t>
      </w:r>
      <w:r>
        <w:rPr>
          <w:sz w:val="24"/>
          <w:szCs w:val="24"/>
        </w:rPr>
        <w:t>:</w:t>
      </w:r>
    </w:p>
    <w:p w:rsidR="001827D0" w:rsidRPr="00EC32F2" w:rsidRDefault="001827D0" w:rsidP="001827D0">
      <w:pPr>
        <w:pStyle w:val="1"/>
        <w:suppressAutoHyphens/>
        <w:ind w:firstLine="708"/>
        <w:rPr>
          <w:sz w:val="24"/>
          <w:szCs w:val="24"/>
        </w:rPr>
      </w:pPr>
    </w:p>
    <w:p w:rsidR="001827D0" w:rsidRPr="00EC32F2" w:rsidRDefault="001827D0" w:rsidP="001827D0">
      <w:pPr>
        <w:pStyle w:val="1"/>
        <w:suppressAutoHyphens/>
        <w:ind w:firstLine="708"/>
        <w:rPr>
          <w:b/>
          <w:sz w:val="24"/>
          <w:szCs w:val="24"/>
        </w:rPr>
      </w:pPr>
      <w:r w:rsidRPr="00EC32F2">
        <w:rPr>
          <w:b/>
          <w:sz w:val="24"/>
          <w:szCs w:val="24"/>
        </w:rPr>
        <w:t>В документации о закупке:</w:t>
      </w:r>
    </w:p>
    <w:p w:rsidR="001827D0" w:rsidRPr="00EC32F2" w:rsidRDefault="001827D0" w:rsidP="001827D0">
      <w:pPr>
        <w:tabs>
          <w:tab w:val="left" w:pos="0"/>
        </w:tabs>
        <w:jc w:val="both"/>
      </w:pPr>
    </w:p>
    <w:p w:rsidR="002E6CD4" w:rsidRDefault="002E6CD4" w:rsidP="001827D0">
      <w:pPr>
        <w:pStyle w:val="1"/>
        <w:numPr>
          <w:ilvl w:val="0"/>
          <w:numId w:val="1"/>
        </w:numPr>
        <w:ind w:left="0" w:firstLine="709"/>
        <w:outlineLvl w:val="1"/>
        <w:rPr>
          <w:bCs/>
          <w:sz w:val="24"/>
          <w:szCs w:val="24"/>
        </w:rPr>
      </w:pPr>
      <w:r w:rsidRPr="001E1108">
        <w:rPr>
          <w:bCs/>
          <w:sz w:val="24"/>
          <w:szCs w:val="24"/>
        </w:rPr>
        <w:t>Внести изменения в п.</w:t>
      </w:r>
      <w:r>
        <w:rPr>
          <w:bCs/>
          <w:sz w:val="24"/>
          <w:szCs w:val="24"/>
        </w:rPr>
        <w:t xml:space="preserve"> 4.4.13. </w:t>
      </w:r>
      <w:r w:rsidRPr="001E1108">
        <w:rPr>
          <w:bCs/>
          <w:sz w:val="24"/>
          <w:szCs w:val="24"/>
        </w:rPr>
        <w:t xml:space="preserve">раздела </w:t>
      </w:r>
      <w:r>
        <w:rPr>
          <w:bCs/>
          <w:sz w:val="24"/>
          <w:szCs w:val="24"/>
        </w:rPr>
        <w:t>4</w:t>
      </w:r>
      <w:r w:rsidRPr="001E1108"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</w:rPr>
        <w:t>Техническое задание</w:t>
      </w:r>
      <w:r w:rsidRPr="001E1108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документации о закупке и изложить их в следующем виде: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E6CD4">
        <w:rPr>
          <w:sz w:val="24"/>
          <w:szCs w:val="24"/>
        </w:rPr>
        <w:t>4.4.13.</w:t>
      </w:r>
      <w:r w:rsidRPr="002E6CD4">
        <w:rPr>
          <w:sz w:val="24"/>
          <w:szCs w:val="24"/>
        </w:rPr>
        <w:tab/>
        <w:t>Подрядчик должен иметь квалифицированный персонал, включающий в себя: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 w:rsidRPr="002E6CD4">
        <w:rPr>
          <w:sz w:val="24"/>
          <w:szCs w:val="24"/>
        </w:rPr>
        <w:t>- не менее одного работника, имеющего действующее удостоверение по проведению проверки знаний требований пожарно-технического минимума либо диплом о дополнительном профессиональном образовании в сфере пожарной безопасности;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 w:rsidRPr="002E6CD4">
        <w:rPr>
          <w:sz w:val="24"/>
          <w:szCs w:val="24"/>
        </w:rPr>
        <w:t xml:space="preserve">- не менее одного работника, имеющего действующее удостоверение по проведению </w:t>
      </w:r>
      <w:proofErr w:type="gramStart"/>
      <w:r w:rsidRPr="002E6CD4">
        <w:rPr>
          <w:sz w:val="24"/>
          <w:szCs w:val="24"/>
        </w:rPr>
        <w:t>проверки знаний требований охраны труда</w:t>
      </w:r>
      <w:proofErr w:type="gramEnd"/>
      <w:r w:rsidRPr="002E6CD4">
        <w:rPr>
          <w:sz w:val="24"/>
          <w:szCs w:val="24"/>
        </w:rPr>
        <w:t>;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 w:rsidRPr="002E6CD4">
        <w:rPr>
          <w:sz w:val="24"/>
          <w:szCs w:val="24"/>
        </w:rPr>
        <w:t xml:space="preserve">- не менее одного работника, имеющего действующее удостоверение с допуском в качестве административно-технического персонала к работам в электроустановках напряжением до 1000В с группой по </w:t>
      </w:r>
      <w:proofErr w:type="spellStart"/>
      <w:r w:rsidRPr="002E6CD4">
        <w:rPr>
          <w:sz w:val="24"/>
          <w:szCs w:val="24"/>
        </w:rPr>
        <w:t>электробезопасности</w:t>
      </w:r>
      <w:proofErr w:type="spellEnd"/>
      <w:r w:rsidRPr="002E6CD4">
        <w:rPr>
          <w:sz w:val="24"/>
          <w:szCs w:val="24"/>
        </w:rPr>
        <w:t xml:space="preserve"> не ниже IV;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 w:rsidRPr="002E6CD4">
        <w:rPr>
          <w:sz w:val="24"/>
          <w:szCs w:val="24"/>
        </w:rPr>
        <w:t>- не менее одного работника, допущенного к работе в качестве административно-технический персонал с группой по безопасности работ на высоте не менее 3;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 w:rsidRPr="002E6CD4">
        <w:rPr>
          <w:sz w:val="24"/>
          <w:szCs w:val="24"/>
        </w:rPr>
        <w:t>- не менее одного работника, допущенного к работе в качестве административно-технический персонал с группой по безопасности работ на высоте не менее 3;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 w:rsidRPr="002E6CD4">
        <w:rPr>
          <w:sz w:val="24"/>
          <w:szCs w:val="24"/>
        </w:rPr>
        <w:t>- не менее двух работников, допущенных к работе в качестве производственного персонала с группами по безопасности работ на высоте 1 или 2;</w:t>
      </w:r>
    </w:p>
    <w:p w:rsidR="002E6CD4" w:rsidRPr="002E6CD4" w:rsidRDefault="002E6CD4" w:rsidP="002E6CD4">
      <w:pPr>
        <w:ind w:right="103" w:firstLine="709"/>
        <w:jc w:val="both"/>
        <w:rPr>
          <w:sz w:val="24"/>
          <w:szCs w:val="24"/>
        </w:rPr>
      </w:pPr>
      <w:r w:rsidRPr="002E6CD4">
        <w:rPr>
          <w:sz w:val="24"/>
          <w:szCs w:val="24"/>
        </w:rPr>
        <w:t>- не менее одного работника, имеющего действующее удостоверение стропальщика.</w:t>
      </w:r>
      <w:r>
        <w:rPr>
          <w:sz w:val="24"/>
          <w:szCs w:val="24"/>
        </w:rPr>
        <w:t>»</w:t>
      </w:r>
    </w:p>
    <w:p w:rsidR="002E6CD4" w:rsidRDefault="002E6CD4" w:rsidP="002E6CD4">
      <w:pPr>
        <w:pStyle w:val="1"/>
        <w:ind w:left="709" w:firstLine="0"/>
        <w:outlineLvl w:val="1"/>
        <w:rPr>
          <w:bCs/>
          <w:sz w:val="24"/>
          <w:szCs w:val="24"/>
        </w:rPr>
      </w:pPr>
    </w:p>
    <w:p w:rsidR="001827D0" w:rsidRPr="001E1108" w:rsidRDefault="001827D0" w:rsidP="001827D0">
      <w:pPr>
        <w:pStyle w:val="1"/>
        <w:numPr>
          <w:ilvl w:val="0"/>
          <w:numId w:val="1"/>
        </w:numPr>
        <w:ind w:left="0" w:firstLine="709"/>
        <w:outlineLvl w:val="1"/>
        <w:rPr>
          <w:bCs/>
          <w:sz w:val="24"/>
          <w:szCs w:val="24"/>
        </w:rPr>
      </w:pPr>
      <w:r w:rsidRPr="001E1108">
        <w:rPr>
          <w:bCs/>
          <w:sz w:val="24"/>
          <w:szCs w:val="24"/>
        </w:rPr>
        <w:t>Внести изменения в п.</w:t>
      </w:r>
      <w:r w:rsidR="005D5994">
        <w:rPr>
          <w:bCs/>
          <w:sz w:val="24"/>
          <w:szCs w:val="24"/>
        </w:rPr>
        <w:t xml:space="preserve"> 7, 8 и </w:t>
      </w:r>
      <w:r>
        <w:rPr>
          <w:bCs/>
          <w:sz w:val="24"/>
          <w:szCs w:val="24"/>
        </w:rPr>
        <w:t>1</w:t>
      </w:r>
      <w:r w:rsidRPr="001E110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1E1108">
        <w:rPr>
          <w:bCs/>
          <w:sz w:val="24"/>
          <w:szCs w:val="24"/>
        </w:rPr>
        <w:t>раздела 5 «Информационная карта»</w:t>
      </w:r>
      <w:r>
        <w:rPr>
          <w:bCs/>
          <w:sz w:val="24"/>
          <w:szCs w:val="24"/>
        </w:rPr>
        <w:t xml:space="preserve"> документации о закупке и изложить их в следующем виде:</w:t>
      </w:r>
    </w:p>
    <w:tbl>
      <w:tblPr>
        <w:tblW w:w="9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5D5994" w:rsidRPr="00A149FD" w:rsidTr="002753B2">
        <w:tc>
          <w:tcPr>
            <w:tcW w:w="426" w:type="dxa"/>
          </w:tcPr>
          <w:p w:rsidR="005D5994" w:rsidRPr="00856650" w:rsidRDefault="005D5994" w:rsidP="009A1D01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5D5994" w:rsidRPr="00F86FAA" w:rsidRDefault="005D5994" w:rsidP="009A1D0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Место, дата и время начала и окончания срока подачи Заявок, открытия доступа к </w:t>
            </w:r>
            <w:r>
              <w:rPr>
                <w:b/>
                <w:color w:val="auto"/>
              </w:rPr>
              <w:lastRenderedPageBreak/>
              <w:t>Заявкам</w:t>
            </w:r>
          </w:p>
        </w:tc>
        <w:tc>
          <w:tcPr>
            <w:tcW w:w="7200" w:type="dxa"/>
          </w:tcPr>
          <w:p w:rsidR="005D5994" w:rsidRDefault="005D5994" w:rsidP="005D5994">
            <w:pPr>
              <w:pStyle w:val="1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>
              <w:rPr>
                <w:sz w:val="24"/>
                <w:szCs w:val="24"/>
              </w:rPr>
              <w:t>с даты опубликования</w:t>
            </w:r>
            <w:proofErr w:type="gramEnd"/>
            <w:r>
              <w:rPr>
                <w:sz w:val="24"/>
                <w:szCs w:val="24"/>
              </w:rPr>
              <w:t xml:space="preserve"> Открытого конкурса и до «05» июня 2024 г. 14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5D5994" w:rsidRPr="00A149FD" w:rsidTr="002753B2">
        <w:tc>
          <w:tcPr>
            <w:tcW w:w="426" w:type="dxa"/>
          </w:tcPr>
          <w:p w:rsidR="005D5994" w:rsidRPr="00F86FAA" w:rsidRDefault="005D5994" w:rsidP="009A1D01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6" w:type="dxa"/>
          </w:tcPr>
          <w:p w:rsidR="005D5994" w:rsidRPr="00F86FAA" w:rsidRDefault="005D5994" w:rsidP="009A1D0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5D5994" w:rsidRDefault="005D5994" w:rsidP="005D5994">
            <w:pPr>
              <w:pStyle w:val="1"/>
              <w:ind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«06» июня 2024 г. 14 час. 00 мин. местного времени по адресу, указанному в пункте 2 Информационной карты.</w:t>
            </w:r>
          </w:p>
        </w:tc>
      </w:tr>
      <w:tr w:rsidR="005D5994" w:rsidRPr="00A149FD" w:rsidTr="002753B2">
        <w:tc>
          <w:tcPr>
            <w:tcW w:w="426" w:type="dxa"/>
          </w:tcPr>
          <w:p w:rsidR="005D5994" w:rsidRPr="00F86FAA" w:rsidRDefault="005D5994" w:rsidP="002753B2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5D5994" w:rsidRPr="00F86FAA" w:rsidRDefault="005D5994" w:rsidP="002753B2">
            <w:pPr>
              <w:pStyle w:val="a9"/>
            </w:pPr>
            <w: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7200" w:type="dxa"/>
          </w:tcPr>
          <w:p w:rsidR="005D5994" w:rsidRPr="00286B26" w:rsidRDefault="005D5994" w:rsidP="001827D0">
            <w:pPr>
              <w:pStyle w:val="a5"/>
              <w:widowControl/>
              <w:numPr>
                <w:ilvl w:val="0"/>
                <w:numId w:val="2"/>
              </w:numPr>
              <w:suppressAutoHyphens/>
              <w:autoSpaceDE/>
              <w:autoSpaceDN/>
              <w:ind w:left="175" w:hanging="218"/>
              <w:jc w:val="both"/>
            </w:pPr>
            <w: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>отсутствие за последние три года просроченной задолженности перед ПАО «</w:t>
            </w:r>
            <w:proofErr w:type="spellStart"/>
            <w:r w:rsidRPr="00C5048F">
              <w:t>ТрансКонтейнер</w:t>
            </w:r>
            <w:proofErr w:type="spellEnd"/>
            <w:r w:rsidRPr="00C5048F">
              <w:t>», фактов невыполнения обязательств перед ПАО «</w:t>
            </w:r>
            <w:proofErr w:type="spellStart"/>
            <w:r w:rsidRPr="00C5048F">
              <w:t>ТрансКонтейнер</w:t>
            </w:r>
            <w:proofErr w:type="spellEnd"/>
            <w:r w:rsidRPr="00C5048F">
              <w:t>» и причинения вреда имуществу ПАО «</w:t>
            </w:r>
            <w:proofErr w:type="spellStart"/>
            <w:r w:rsidRPr="00C5048F">
              <w:t>ТрансКонтейнер</w:t>
            </w:r>
            <w:proofErr w:type="spellEnd"/>
            <w:r w:rsidRPr="00C5048F">
              <w:t xml:space="preserve">»;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наличие опыта поставки товара, выполнения работ, оказания услуг за период трех последних лет, предшествующих году подачи Заявки и/или период времени в текущем году до момента окончания приема Заявок, с предметом </w:t>
            </w:r>
            <w:r>
              <w:t>общестроительные работы, ремонтные работы производственных зданий, офисных помещений</w:t>
            </w:r>
            <w:r w:rsidRPr="00C5048F">
              <w:t>, с суммарной стоимостью договор</w:t>
            </w:r>
            <w:proofErr w:type="gramStart"/>
            <w:r w:rsidRPr="00C5048F">
              <w:t>а(</w:t>
            </w:r>
            <w:proofErr w:type="gramEnd"/>
            <w:r w:rsidRPr="00C5048F">
              <w:t>-</w:t>
            </w:r>
            <w:proofErr w:type="spellStart"/>
            <w:r w:rsidRPr="00C5048F">
              <w:t>ов</w:t>
            </w:r>
            <w:proofErr w:type="spellEnd"/>
            <w:r w:rsidRPr="00C5048F">
              <w:t xml:space="preserve">) не менее 50 % от начальной (максимальной) цены договора/цены лота закупки;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>осуществлять электронный документооборот (далее – ЭДО) с Заказчиком с помощью операторов ЭДО указанных в списке реестра на сайте Федеральной налоговой службы (</w:t>
            </w:r>
            <w:r>
              <w:rPr>
                <w:lang w:val="en-US"/>
              </w:rPr>
              <w:t>https</w:t>
            </w:r>
            <w:r w:rsidRPr="00C5048F">
              <w:t>://</w:t>
            </w:r>
            <w:r>
              <w:rPr>
                <w:lang w:val="en-US"/>
              </w:rPr>
              <w:t>www</w:t>
            </w:r>
            <w:r w:rsidRPr="00C5048F">
              <w:t>.</w:t>
            </w:r>
            <w:proofErr w:type="spellStart"/>
            <w:r>
              <w:rPr>
                <w:lang w:val="en-US"/>
              </w:rPr>
              <w:t>nalog</w:t>
            </w:r>
            <w:proofErr w:type="spellEnd"/>
            <w:r w:rsidRPr="00C5048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C5048F">
              <w:t xml:space="preserve">) на условиях, изложенных в проекте договора (приложение к документации о закупке);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претендент должен иметь квалифицированный персонал, включающий в себя: - не менее одного работника, имеющего </w:t>
            </w:r>
            <w:r w:rsidRPr="00A05F57">
              <w:t>действующе</w:t>
            </w:r>
            <w:r>
              <w:t>е</w:t>
            </w:r>
            <w:r w:rsidRPr="00A05F57">
              <w:t xml:space="preserve"> удостоверени</w:t>
            </w:r>
            <w:r>
              <w:t>е</w:t>
            </w:r>
            <w:r w:rsidRPr="00A05F57">
              <w:t xml:space="preserve"> по проведению проверки знаний требований пожарно-технического минимума либо диплом о дополнительном профессиональном образовании в сфере пожарной безопасности</w:t>
            </w:r>
            <w:r w:rsidRPr="00C5048F">
              <w:t xml:space="preserve">; - не менее одного работника, имеющего действующее удостоверение по проведению </w:t>
            </w:r>
            <w:proofErr w:type="gramStart"/>
            <w:r w:rsidRPr="00C5048F">
              <w:t>проверки знаний требований охраны труда</w:t>
            </w:r>
            <w:proofErr w:type="gramEnd"/>
            <w:r w:rsidRPr="00C5048F">
              <w:t xml:space="preserve">; - не менее одного работника, имеющего действующее удостоверение с допуском в качестве административно-технического персонала к работам в электроустановках напряжением до 1000В с группой по </w:t>
            </w:r>
            <w:proofErr w:type="spellStart"/>
            <w:r w:rsidRPr="00C5048F">
              <w:t>электробезопасности</w:t>
            </w:r>
            <w:proofErr w:type="spellEnd"/>
            <w:r w:rsidRPr="00C5048F">
              <w:t xml:space="preserve"> не ниже </w:t>
            </w:r>
            <w:r>
              <w:rPr>
                <w:lang w:val="en-US"/>
              </w:rPr>
              <w:t>IV</w:t>
            </w:r>
            <w:r w:rsidRPr="00C5048F">
              <w:t>; - не менее одного работника, допущенного к работе в качестве административно-технический персонал с группой по безопасности работ на высоте не менее 3; - не менее одного работника, допущенного к работе в качестве административно-технический персонал с группой по безопасности работ на высоте не менее 3; - не менее двух работников, допущенных к работе в качестве производственного персонала с группами по безопасности работ на высоте 1 или 2; - не менее одного работника, имеющего действующее удостоверение стропальщика</w:t>
            </w:r>
            <w:proofErr w:type="gramStart"/>
            <w:r w:rsidRPr="00C5048F">
              <w:t xml:space="preserve">. ; </w:t>
            </w:r>
            <w:proofErr w:type="gramEnd"/>
          </w:p>
          <w:p w:rsidR="005D5994" w:rsidRPr="00286B26" w:rsidRDefault="005D5994" w:rsidP="001827D0">
            <w:pPr>
              <w:pStyle w:val="a5"/>
              <w:widowControl/>
              <w:numPr>
                <w:ilvl w:val="0"/>
                <w:numId w:val="2"/>
              </w:numPr>
              <w:suppressAutoHyphens/>
              <w:autoSpaceDE/>
              <w:autoSpaceDN/>
              <w:ind w:left="175" w:hanging="218"/>
              <w:jc w:val="both"/>
            </w:pPr>
            <w:r>
              <w:t xml:space="preserve">Претендент, помимо документов, указанных в пункте 2.3 настоящей документации о закупке, в составе Заявки должен </w:t>
            </w:r>
            <w:proofErr w:type="gramStart"/>
            <w:r>
              <w:t>предоставить следующие документы</w:t>
            </w:r>
            <w:proofErr w:type="gramEnd"/>
            <w:r>
              <w:t>: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proofErr w:type="gramStart"/>
            <w:r w:rsidRPr="00C5048F">
              <w:t xml:space="preserve"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</w:t>
            </w:r>
            <w:r w:rsidRPr="00C5048F">
              <w:lastRenderedPageBreak/>
              <w:t>представленной претендентом налоговой отчетности, на официальном сайте Федеральной налоговой службы Российской Федерации (</w:t>
            </w:r>
            <w:r>
              <w:rPr>
                <w:lang w:val="en-US"/>
              </w:rPr>
              <w:t>https</w:t>
            </w:r>
            <w:r w:rsidRPr="00C5048F">
              <w:t>://</w:t>
            </w:r>
            <w:r>
              <w:rPr>
                <w:lang w:val="en-US"/>
              </w:rPr>
              <w:t>service</w:t>
            </w:r>
            <w:r w:rsidRPr="00C5048F">
              <w:t>.</w:t>
            </w:r>
            <w:proofErr w:type="spellStart"/>
            <w:r>
              <w:rPr>
                <w:lang w:val="en-US"/>
              </w:rPr>
              <w:t>nalog</w:t>
            </w:r>
            <w:proofErr w:type="spellEnd"/>
            <w:r w:rsidRPr="00C5048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C5048F">
              <w:t>/</w:t>
            </w:r>
            <w:proofErr w:type="spellStart"/>
            <w:r>
              <w:rPr>
                <w:lang w:val="en-US"/>
              </w:rPr>
              <w:t>zd</w:t>
            </w:r>
            <w:proofErr w:type="spellEnd"/>
            <w:r w:rsidRPr="00C5048F">
              <w:t>.</w:t>
            </w:r>
            <w:r>
              <w:rPr>
                <w:lang w:val="en-US"/>
              </w:rPr>
              <w:t>do</w:t>
            </w:r>
            <w:r w:rsidRPr="00C5048F">
              <w:t>).</w:t>
            </w:r>
            <w:proofErr w:type="gramEnd"/>
            <w:r w:rsidRPr="00C5048F"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</w:t>
            </w:r>
            <w:r>
              <w:rPr>
                <w:lang w:val="en-US"/>
              </w:rPr>
              <w:t>https</w:t>
            </w:r>
            <w:r w:rsidRPr="00C5048F">
              <w:t>://</w:t>
            </w:r>
            <w:r>
              <w:rPr>
                <w:lang w:val="en-US"/>
              </w:rPr>
              <w:t>service</w:t>
            </w:r>
            <w:r w:rsidRPr="00C5048F">
              <w:t>.</w:t>
            </w:r>
            <w:proofErr w:type="spellStart"/>
            <w:r>
              <w:rPr>
                <w:lang w:val="en-US"/>
              </w:rPr>
              <w:t>nalog</w:t>
            </w:r>
            <w:proofErr w:type="spellEnd"/>
            <w:r w:rsidRPr="00C5048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C5048F">
              <w:t>/</w:t>
            </w:r>
            <w:proofErr w:type="spellStart"/>
            <w:r>
              <w:rPr>
                <w:lang w:val="en-US"/>
              </w:rPr>
              <w:t>zd</w:t>
            </w:r>
            <w:proofErr w:type="spellEnd"/>
            <w:r w:rsidRPr="00C5048F">
              <w:t>.</w:t>
            </w:r>
            <w:r>
              <w:rPr>
                <w:lang w:val="en-US"/>
              </w:rPr>
              <w:t>do</w:t>
            </w:r>
            <w:r w:rsidRPr="00C5048F">
              <w:t xml:space="preserve">);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proofErr w:type="gramStart"/>
            <w:r w:rsidRPr="00C5048F">
              <w:t xml:space="preserve">в подтверждение соответствия требованиям, установленным частью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C5048F">
              <w:t>неприостановлении</w:t>
            </w:r>
            <w:proofErr w:type="spellEnd"/>
            <w:r w:rsidRPr="00C5048F"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      </w:r>
            <w:r>
              <w:rPr>
                <w:lang w:val="en-US"/>
              </w:rPr>
              <w:t>http</w:t>
            </w:r>
            <w:r w:rsidRPr="00C5048F">
              <w:t>://</w:t>
            </w:r>
            <w:proofErr w:type="spellStart"/>
            <w:r>
              <w:rPr>
                <w:lang w:val="en-US"/>
              </w:rPr>
              <w:t>fssprus</w:t>
            </w:r>
            <w:proofErr w:type="spellEnd"/>
            <w:r w:rsidRPr="00C5048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C5048F">
              <w:t>/</w:t>
            </w:r>
            <w:proofErr w:type="spellStart"/>
            <w:r>
              <w:rPr>
                <w:lang w:val="en-US"/>
              </w:rPr>
              <w:t>iss</w:t>
            </w:r>
            <w:proofErr w:type="spellEnd"/>
            <w:r w:rsidRPr="00C5048F">
              <w:t>/</w:t>
            </w:r>
            <w:proofErr w:type="spellStart"/>
            <w:r>
              <w:rPr>
                <w:lang w:val="en-US"/>
              </w:rPr>
              <w:t>ip</w:t>
            </w:r>
            <w:proofErr w:type="spellEnd"/>
            <w:r w:rsidRPr="00C5048F">
              <w:t>), а также информации в едином</w:t>
            </w:r>
            <w:proofErr w:type="gramEnd"/>
            <w:r w:rsidRPr="00C5048F">
              <w:t xml:space="preserve"> федеральном </w:t>
            </w:r>
            <w:proofErr w:type="gramStart"/>
            <w:r w:rsidRPr="00C5048F">
              <w:t>реестре</w:t>
            </w:r>
            <w:proofErr w:type="gramEnd"/>
            <w:r w:rsidRPr="00C5048F"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>
              <w:rPr>
                <w:lang w:val="en-US"/>
              </w:rPr>
              <w:t>http</w:t>
            </w:r>
            <w:r w:rsidRPr="00C5048F">
              <w:t>://</w:t>
            </w:r>
            <w:r>
              <w:rPr>
                <w:lang w:val="en-US"/>
              </w:rPr>
              <w:t>www</w:t>
            </w:r>
            <w:r w:rsidRPr="00C5048F">
              <w:t>.</w:t>
            </w:r>
            <w:proofErr w:type="spellStart"/>
            <w:r>
              <w:rPr>
                <w:lang w:val="en-US"/>
              </w:rPr>
              <w:t>fedresurs</w:t>
            </w:r>
            <w:proofErr w:type="spellEnd"/>
            <w:r w:rsidRPr="00C5048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C5048F">
              <w:t xml:space="preserve">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C5048F">
              <w:t>неприостановлении</w:t>
            </w:r>
            <w:proofErr w:type="spellEnd"/>
            <w:r w:rsidRPr="00C5048F"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(«поиск сведений»);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документ по форме приложения № 4 к документации о </w:t>
            </w:r>
            <w:proofErr w:type="gramStart"/>
            <w:r w:rsidRPr="00C5048F">
              <w:t>закупке</w:t>
            </w:r>
            <w:proofErr w:type="gramEnd"/>
            <w:r w:rsidRPr="00C5048F"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C5048F">
              <w:t>закупке</w:t>
            </w:r>
            <w:proofErr w:type="gramEnd"/>
            <w:r w:rsidRPr="00C5048F">
              <w:t xml:space="preserve"> о наличии опыта поставки товаров, выполнения работ, оказания услуг; </w:t>
            </w:r>
          </w:p>
          <w:p w:rsidR="005D5994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  <w:rPr>
                <w:lang w:val="en-US"/>
              </w:rPr>
            </w:pPr>
            <w:r w:rsidRPr="00C5048F">
              <w:t xml:space="preserve">копии документов, подтверждающих факт поставки товаров, </w:t>
            </w:r>
            <w:r w:rsidRPr="00C5048F">
              <w:lastRenderedPageBreak/>
              <w:t xml:space="preserve">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</w:t>
            </w:r>
            <w:proofErr w:type="spellStart"/>
            <w:r>
              <w:rPr>
                <w:lang w:val="en-US"/>
              </w:rPr>
              <w:t>Письмо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должно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содержать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контактную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информацию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контрагента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претендента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>сведения о планируемых к привлечению субподрядных организациях по форме приложения № 6 к документации о закупке (предоставляется претендентом в случае привлечения субподрядчиков</w:t>
            </w:r>
            <w:proofErr w:type="gramStart"/>
            <w:r w:rsidRPr="00C5048F">
              <w:t xml:space="preserve">);; </w:t>
            </w:r>
            <w:proofErr w:type="gramEnd"/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>сведения об административном и производственном персонале по форме приложения</w:t>
            </w:r>
            <w:r w:rsidR="007B5BCF">
              <w:t xml:space="preserve"> № 8 к документации о закупке;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копию действующего удостоверения по проведению проверки знаний требований </w:t>
            </w:r>
            <w:r w:rsidRPr="00F00328">
              <w:t>пожарно</w:t>
            </w:r>
            <w:r w:rsidRPr="00C5048F">
              <w:t>-технического минимума</w:t>
            </w:r>
            <w:r>
              <w:t xml:space="preserve"> либо копию диплома о дополнительном профессиональном образовании в сфере пожарной безопасности </w:t>
            </w:r>
            <w:r w:rsidRPr="00C5048F">
              <w:t xml:space="preserve">на одного из работников, указанных в сведениях об административном и производственном персонале по форме приложения № 8 к документации о закупке;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копию действующего удостоверения по проведению </w:t>
            </w:r>
            <w:proofErr w:type="gramStart"/>
            <w:r w:rsidRPr="00C5048F">
              <w:t>проверки знаний требований охраны труда</w:t>
            </w:r>
            <w:proofErr w:type="gramEnd"/>
            <w:r w:rsidRPr="00C5048F">
              <w:t xml:space="preserve"> на одного из работников, указанных в сведениях об административном и производственном персонале по форме приложения № 8 к документации о закупке;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копию действующего удостоверения с допуском в качестве административно-технического персонала к работам в электроустановках напряжением до 1000В с группой по </w:t>
            </w:r>
            <w:proofErr w:type="spellStart"/>
            <w:r w:rsidRPr="00C5048F">
              <w:t>электробезопасности</w:t>
            </w:r>
            <w:proofErr w:type="spellEnd"/>
            <w:r w:rsidRPr="00C5048F">
              <w:t xml:space="preserve"> не ниже </w:t>
            </w:r>
            <w:r>
              <w:rPr>
                <w:lang w:val="en-US"/>
              </w:rPr>
              <w:t>IV</w:t>
            </w:r>
            <w:r w:rsidRPr="00C5048F">
              <w:t xml:space="preserve"> на одного из работников, указанных в сведениях об административном и производственном персонале по форме приложения № 8 к документации о закупке;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копию удостоверения на одного из работников, указанных в сведениях об административном и производственном персонале по форме приложения № 8 к документации о закупке, допущенного к работе в качестве административно-технический персонал с группой по безопасности работ на высоте не менее 3;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 xml:space="preserve">копии удостоверений на двух работников, указанных в сведениях об административном и производственном персонале по форме приложения № 8 к документации о закупке, допущенных к работе в качестве производственного персонала с группами по безопасности работ на высоте 1 или 2; </w:t>
            </w:r>
          </w:p>
          <w:p w:rsidR="005D5994" w:rsidRPr="00C5048F" w:rsidRDefault="005D5994" w:rsidP="001827D0">
            <w:pPr>
              <w:pStyle w:val="a5"/>
              <w:widowControl/>
              <w:numPr>
                <w:ilvl w:val="1"/>
                <w:numId w:val="2"/>
              </w:numPr>
              <w:suppressAutoHyphens/>
              <w:autoSpaceDE/>
              <w:autoSpaceDN/>
              <w:ind w:left="601" w:hanging="426"/>
              <w:jc w:val="both"/>
            </w:pPr>
            <w:r w:rsidRPr="00C5048F">
              <w:t>копию аттестационного удостоверения стропальщика на одного из работников, указанных в сведениях об административном и производственном персонале по форме приложения № 8 к документации о закупке.</w:t>
            </w:r>
          </w:p>
        </w:tc>
      </w:tr>
    </w:tbl>
    <w:p w:rsidR="001827D0" w:rsidRPr="001E1108" w:rsidRDefault="001827D0" w:rsidP="001827D0">
      <w:pPr>
        <w:pStyle w:val="1"/>
        <w:ind w:left="709" w:firstLine="0"/>
        <w:outlineLvl w:val="1"/>
        <w:rPr>
          <w:bCs/>
        </w:rPr>
      </w:pPr>
    </w:p>
    <w:p w:rsidR="001827D0" w:rsidRPr="00B30229" w:rsidRDefault="001827D0" w:rsidP="001827D0">
      <w:pPr>
        <w:numPr>
          <w:ilvl w:val="2"/>
          <w:numId w:val="0"/>
        </w:numPr>
        <w:tabs>
          <w:tab w:val="num" w:pos="1985"/>
        </w:tabs>
        <w:jc w:val="both"/>
        <w:rPr>
          <w:sz w:val="4"/>
          <w:szCs w:val="4"/>
        </w:rPr>
      </w:pPr>
    </w:p>
    <w:p w:rsidR="001827D0" w:rsidRPr="00896122" w:rsidRDefault="001827D0" w:rsidP="001827D0">
      <w:pPr>
        <w:shd w:val="clear" w:color="auto" w:fill="FFFFFF"/>
        <w:ind w:left="708"/>
        <w:jc w:val="both"/>
      </w:pPr>
      <w:r w:rsidRPr="00896122">
        <w:t>Председатель ПРГ филиала</w:t>
      </w:r>
    </w:p>
    <w:p w:rsidR="001827D0" w:rsidRPr="00896122" w:rsidRDefault="001827D0" w:rsidP="001827D0">
      <w:pPr>
        <w:shd w:val="clear" w:color="auto" w:fill="FFFFFF"/>
        <w:ind w:left="708"/>
        <w:jc w:val="both"/>
      </w:pPr>
      <w:r w:rsidRPr="00896122">
        <w:t>ПАО «</w:t>
      </w:r>
      <w:proofErr w:type="spellStart"/>
      <w:r w:rsidRPr="00896122">
        <w:t>ТрансКонтейнер</w:t>
      </w:r>
      <w:proofErr w:type="spellEnd"/>
      <w:r w:rsidRPr="00896122">
        <w:t>» на</w:t>
      </w:r>
    </w:p>
    <w:p w:rsidR="001827D0" w:rsidRPr="00B30229" w:rsidRDefault="001827D0" w:rsidP="001827D0">
      <w:pPr>
        <w:pStyle w:val="a5"/>
        <w:shd w:val="clear" w:color="auto" w:fill="FFFFFF"/>
        <w:ind w:left="708"/>
        <w:rPr>
          <w:sz w:val="28"/>
          <w:szCs w:val="28"/>
        </w:rPr>
      </w:pPr>
      <w:r w:rsidRPr="00896122">
        <w:rPr>
          <w:lang w:eastAsia="ru-RU"/>
        </w:rPr>
        <w:t>Горьковской железной дороге</w:t>
      </w:r>
      <w:r w:rsidRPr="00896122">
        <w:rPr>
          <w:lang w:eastAsia="ru-RU"/>
        </w:rPr>
        <w:tab/>
      </w:r>
      <w:r w:rsidRPr="00896122">
        <w:rPr>
          <w:lang w:eastAsia="ru-RU"/>
        </w:rPr>
        <w:tab/>
      </w:r>
      <w:r w:rsidRPr="00896122">
        <w:rPr>
          <w:lang w:eastAsia="ru-RU"/>
        </w:rPr>
        <w:tab/>
      </w:r>
      <w:r w:rsidRPr="00896122">
        <w:rPr>
          <w:lang w:eastAsia="ru-RU"/>
        </w:rPr>
        <w:tab/>
      </w:r>
      <w:r w:rsidRPr="00896122">
        <w:rPr>
          <w:lang w:eastAsia="ru-RU"/>
        </w:rPr>
        <w:tab/>
      </w:r>
      <w:r w:rsidRPr="00896122">
        <w:rPr>
          <w:lang w:eastAsia="ru-RU"/>
        </w:rPr>
        <w:tab/>
        <w:t>А.А. Кирпичников</w:t>
      </w: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Default="001827D0" w:rsidP="001827D0">
      <w:pPr>
        <w:rPr>
          <w:sz w:val="18"/>
          <w:szCs w:val="18"/>
        </w:rPr>
      </w:pPr>
    </w:p>
    <w:p w:rsidR="001827D0" w:rsidRPr="00B30229" w:rsidRDefault="001827D0" w:rsidP="001827D0">
      <w:pPr>
        <w:rPr>
          <w:sz w:val="18"/>
          <w:szCs w:val="18"/>
        </w:rPr>
      </w:pPr>
      <w:r w:rsidRPr="00B30229">
        <w:rPr>
          <w:sz w:val="18"/>
          <w:szCs w:val="18"/>
        </w:rPr>
        <w:t>Исполнитель: НКП</w:t>
      </w:r>
      <w:r>
        <w:rPr>
          <w:sz w:val="18"/>
          <w:szCs w:val="18"/>
        </w:rPr>
        <w:t>Т</w:t>
      </w:r>
      <w:r w:rsidRPr="00B30229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Талинин</w:t>
      </w:r>
      <w:proofErr w:type="spellEnd"/>
      <w:r>
        <w:rPr>
          <w:sz w:val="18"/>
          <w:szCs w:val="18"/>
        </w:rPr>
        <w:t xml:space="preserve"> С.А.</w:t>
      </w:r>
    </w:p>
    <w:p w:rsidR="001827D0" w:rsidRPr="00DB5C69" w:rsidRDefault="001827D0" w:rsidP="001827D0">
      <w:pPr>
        <w:rPr>
          <w:sz w:val="18"/>
          <w:szCs w:val="18"/>
        </w:rPr>
      </w:pPr>
      <w:r w:rsidRPr="00A22E55">
        <w:rPr>
          <w:sz w:val="18"/>
          <w:szCs w:val="18"/>
        </w:rPr>
        <w:t>Тел. +7 (800) 100-22-20 (</w:t>
      </w:r>
      <w:proofErr w:type="spellStart"/>
      <w:r w:rsidRPr="00A22E55">
        <w:rPr>
          <w:sz w:val="18"/>
          <w:szCs w:val="18"/>
        </w:rPr>
        <w:t>доб</w:t>
      </w:r>
      <w:proofErr w:type="spellEnd"/>
      <w:r w:rsidRPr="00A22E55">
        <w:rPr>
          <w:sz w:val="18"/>
          <w:szCs w:val="18"/>
        </w:rPr>
        <w:t>. 40-52)</w:t>
      </w:r>
    </w:p>
    <w:p w:rsidR="005401F5" w:rsidRDefault="005401F5" w:rsidP="001827D0">
      <w:pPr>
        <w:pStyle w:val="a4"/>
        <w:rPr>
          <w:b w:val="0"/>
          <w:sz w:val="20"/>
          <w:szCs w:val="20"/>
        </w:rPr>
      </w:pPr>
    </w:p>
    <w:sectPr w:rsidR="005401F5" w:rsidSect="005401F5">
      <w:type w:val="continuous"/>
      <w:pgSz w:w="11910" w:h="16840"/>
      <w:pgMar w:top="640" w:right="760" w:bottom="709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7081"/>
    <w:multiLevelType w:val="hybridMultilevel"/>
    <w:tmpl w:val="2F461584"/>
    <w:lvl w:ilvl="0" w:tplc="E26A9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77FC"/>
    <w:rsid w:val="00051FB4"/>
    <w:rsid w:val="000D61A6"/>
    <w:rsid w:val="001827D0"/>
    <w:rsid w:val="002E6CD4"/>
    <w:rsid w:val="003E5E59"/>
    <w:rsid w:val="005401F5"/>
    <w:rsid w:val="005B3F67"/>
    <w:rsid w:val="005D5994"/>
    <w:rsid w:val="007B5BCF"/>
    <w:rsid w:val="007E0445"/>
    <w:rsid w:val="00893CF7"/>
    <w:rsid w:val="009A2B32"/>
    <w:rsid w:val="00C90AD6"/>
    <w:rsid w:val="00D877FC"/>
    <w:rsid w:val="00E23149"/>
    <w:rsid w:val="00E92ADB"/>
    <w:rsid w:val="00F75942"/>
    <w:rsid w:val="00FD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0445"/>
    <w:rPr>
      <w:sz w:val="28"/>
      <w:szCs w:val="28"/>
    </w:rPr>
  </w:style>
  <w:style w:type="paragraph" w:styleId="a4">
    <w:name w:val="Title"/>
    <w:basedOn w:val="a"/>
    <w:uiPriority w:val="10"/>
    <w:qFormat/>
    <w:rsid w:val="007E0445"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Table-Normal,RSHB_Table-Normal,List Paragraph1,List Paragraph,название,Bullet List,FooterText,numbered,SL_Абзац списка,Bullet Number,Нумерованый список,lp1,Абзац списка4,f_Абзац 1,Абзац списка11,ПАРАГРАФ,Абзац списка3,Текстовая"/>
    <w:basedOn w:val="a"/>
    <w:link w:val="a6"/>
    <w:uiPriority w:val="34"/>
    <w:qFormat/>
    <w:rsid w:val="007E0445"/>
  </w:style>
  <w:style w:type="paragraph" w:customStyle="1" w:styleId="TableParagraph">
    <w:name w:val="Table Paragraph"/>
    <w:basedOn w:val="a"/>
    <w:uiPriority w:val="1"/>
    <w:qFormat/>
    <w:rsid w:val="007E0445"/>
  </w:style>
  <w:style w:type="paragraph" w:styleId="a7">
    <w:name w:val="Balloon Text"/>
    <w:basedOn w:val="a"/>
    <w:link w:val="a8"/>
    <w:uiPriority w:val="99"/>
    <w:semiHidden/>
    <w:unhideWhenUsed/>
    <w:rsid w:val="00051F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Normal">
    <w:name w:val="Normal Знак"/>
    <w:basedOn w:val="a0"/>
    <w:link w:val="1"/>
    <w:locked/>
    <w:rsid w:val="001827D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Обычный1"/>
    <w:basedOn w:val="a"/>
    <w:link w:val="Normal"/>
    <w:qFormat/>
    <w:rsid w:val="001827D0"/>
    <w:pPr>
      <w:widowControl/>
      <w:autoSpaceDE/>
      <w:autoSpaceDN/>
      <w:ind w:firstLine="720"/>
      <w:jc w:val="both"/>
    </w:pPr>
    <w:rPr>
      <w:sz w:val="20"/>
      <w:szCs w:val="20"/>
      <w:lang w:eastAsia="ru-RU"/>
    </w:rPr>
  </w:style>
  <w:style w:type="character" w:customStyle="1" w:styleId="a6">
    <w:name w:val="Абзац списка Знак"/>
    <w:aliases w:val="Маркер Знак,Table-Normal Знак,RSHB_Table-Normal Знак,List Paragraph1 Знак,List Paragraph Знак,название Знак,Bullet List Знак,FooterText Знак,numbered Знак,SL_Абзац списка Знак,Bullet Number Знак,Нумерованый список Знак,lp1 Знак"/>
    <w:link w:val="a5"/>
    <w:uiPriority w:val="34"/>
    <w:locked/>
    <w:rsid w:val="001827D0"/>
    <w:rPr>
      <w:rFonts w:ascii="Times New Roman" w:eastAsia="Times New Roman" w:hAnsi="Times New Roman" w:cs="Times New Roman"/>
      <w:lang w:val="ru-RU"/>
    </w:rPr>
  </w:style>
  <w:style w:type="paragraph" w:styleId="a9">
    <w:name w:val="Subtitle"/>
    <w:basedOn w:val="a"/>
    <w:next w:val="a3"/>
    <w:link w:val="10"/>
    <w:qFormat/>
    <w:rsid w:val="001827D0"/>
    <w:pPr>
      <w:widowControl/>
      <w:suppressAutoHyphens/>
      <w:autoSpaceDE/>
      <w:autoSpaceDN/>
    </w:pPr>
    <w:rPr>
      <w:b/>
      <w:bCs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9"/>
    <w:uiPriority w:val="11"/>
    <w:rsid w:val="00182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10">
    <w:name w:val="Подзаголовок Знак1"/>
    <w:link w:val="a9"/>
    <w:rsid w:val="001827D0"/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paragraph" w:customStyle="1" w:styleId="Default">
    <w:name w:val="Default"/>
    <w:rsid w:val="005D5994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ocked/>
    <w:rsid w:val="005D5994"/>
    <w:rPr>
      <w:rFonts w:eastAsia="Arial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d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письма_Горьк</vt:lpstr>
    </vt:vector>
  </TitlesOfParts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письма_Горьк</dc:title>
  <dc:creator>Таловина Полина Сергеевна</dc:creator>
  <cp:lastModifiedBy>TalininSA</cp:lastModifiedBy>
  <cp:revision>6</cp:revision>
  <cp:lastPrinted>2024-05-24T09:31:00Z</cp:lastPrinted>
  <dcterms:created xsi:type="dcterms:W3CDTF">2024-05-29T07:37:00Z</dcterms:created>
  <dcterms:modified xsi:type="dcterms:W3CDTF">2024-05-29T08:23:00Z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2024-04-24T00:00:00Z</vt:filetime>
  </property>
  <property fmtid="{D5CDD505-2E9C-101B-9397-08002B2CF9AE}" pid="5" name="Producer">
    <vt:lpwstr>Adobe PDF library 17.00</vt:lpwstr>
  </property>
</Properties>
</file>