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58" w:rsidRDefault="00124E04">
      <w:pPr>
        <w:pStyle w:val="a3"/>
        <w:ind w:left="15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B58" w:rsidRDefault="003B3B58">
      <w:pPr>
        <w:pStyle w:val="a3"/>
        <w:spacing w:before="59"/>
        <w:rPr>
          <w:sz w:val="20"/>
        </w:rPr>
      </w:pPr>
    </w:p>
    <w:p w:rsidR="003B3B58" w:rsidRDefault="003B3B58">
      <w:pPr>
        <w:rPr>
          <w:sz w:val="20"/>
        </w:rPr>
        <w:sectPr w:rsidR="003B3B58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3B3B58" w:rsidRDefault="00124E04">
      <w:pPr>
        <w:spacing w:before="90"/>
        <w:ind w:left="714" w:right="153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lastRenderedPageBreak/>
        <w:t>ФИЛИАЛ</w:t>
      </w:r>
    </w:p>
    <w:p w:rsidR="003B3B58" w:rsidRDefault="00124E04">
      <w:pPr>
        <w:spacing w:before="4" w:line="242" w:lineRule="auto"/>
        <w:ind w:left="714" w:right="151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 xml:space="preserve">«ТРАНСКОНТЕЙНЕР» </w:t>
      </w:r>
      <w:r>
        <w:rPr>
          <w:b/>
          <w:color w:val="053658"/>
          <w:sz w:val="24"/>
        </w:rPr>
        <w:t>НА</w:t>
      </w:r>
      <w:r>
        <w:rPr>
          <w:b/>
          <w:color w:val="053658"/>
          <w:spacing w:val="-15"/>
          <w:sz w:val="24"/>
        </w:rPr>
        <w:t xml:space="preserve"> </w:t>
      </w:r>
      <w:proofErr w:type="gramStart"/>
      <w:r>
        <w:rPr>
          <w:b/>
          <w:color w:val="053658"/>
          <w:sz w:val="24"/>
        </w:rPr>
        <w:t>СЕВЕРО-КАВКАЗСКОЙ</w:t>
      </w:r>
      <w:proofErr w:type="gramEnd"/>
      <w:r>
        <w:rPr>
          <w:b/>
          <w:color w:val="053658"/>
          <w:sz w:val="24"/>
        </w:rPr>
        <w:t xml:space="preserve"> ЖЕЛЕЗНОЙ ДОРОГЕ</w:t>
      </w:r>
    </w:p>
    <w:p w:rsidR="003B3B58" w:rsidRDefault="003B3B58">
      <w:pPr>
        <w:pStyle w:val="a3"/>
        <w:spacing w:before="33"/>
        <w:rPr>
          <w:b/>
          <w:sz w:val="24"/>
        </w:rPr>
      </w:pPr>
    </w:p>
    <w:p w:rsidR="003B3B58" w:rsidRDefault="00124E04">
      <w:pPr>
        <w:spacing w:before="1" w:line="228" w:lineRule="auto"/>
        <w:ind w:left="1264" w:right="335" w:hanging="358"/>
      </w:pPr>
      <w:r>
        <w:rPr>
          <w:color w:val="053658"/>
        </w:rPr>
        <w:t>пер.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Энергетиков,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3-5А/378/90, г. Ростов-на-Дону, 344000</w:t>
      </w:r>
    </w:p>
    <w:p w:rsidR="003B3B58" w:rsidRDefault="00124E04">
      <w:pPr>
        <w:spacing w:line="236" w:lineRule="exact"/>
        <w:ind w:left="797"/>
      </w:pPr>
      <w:r>
        <w:rPr>
          <w:color w:val="053658"/>
        </w:rPr>
        <w:t>Тел.: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(495)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788-17-17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(доб.42-</w:t>
      </w:r>
      <w:r>
        <w:rPr>
          <w:color w:val="053658"/>
          <w:spacing w:val="-5"/>
        </w:rPr>
        <w:t>08)</w:t>
      </w:r>
    </w:p>
    <w:p w:rsidR="003B3B58" w:rsidRDefault="00124E04">
      <w:pPr>
        <w:spacing w:before="3" w:line="228" w:lineRule="auto"/>
        <w:ind w:left="609" w:right="38" w:firstLine="678"/>
      </w:pPr>
      <w:r>
        <w:rPr>
          <w:color w:val="053658"/>
        </w:rPr>
        <w:t xml:space="preserve">Эл. почта: </w:t>
      </w:r>
      <w:hyperlink r:id="rId9">
        <w:r>
          <w:rPr>
            <w:color w:val="053658"/>
            <w:u w:val="single" w:color="053658"/>
          </w:rPr>
          <w:t>skzd@trcont.ru</w:t>
        </w:r>
      </w:hyperlink>
      <w:r>
        <w:rPr>
          <w:color w:val="053658"/>
          <w:spacing w:val="40"/>
        </w:rPr>
        <w:t xml:space="preserve"> </w:t>
      </w:r>
      <w:r>
        <w:rPr>
          <w:color w:val="053658"/>
        </w:rPr>
        <w:t>ОКПО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95026410,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1067746341024</w:t>
      </w:r>
    </w:p>
    <w:p w:rsidR="003B3B58" w:rsidRDefault="00124E04">
      <w:pPr>
        <w:spacing w:line="242" w:lineRule="exact"/>
        <w:ind w:left="844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997650001</w:t>
      </w:r>
    </w:p>
    <w:p w:rsidR="003B3B58" w:rsidRDefault="00124E04">
      <w:pPr>
        <w:pStyle w:val="a3"/>
        <w:spacing w:before="92"/>
        <w:ind w:left="609"/>
      </w:pPr>
      <w:r>
        <w:br w:type="column"/>
      </w:r>
      <w:bookmarkStart w:id="0" w:name="_GoBack"/>
      <w:bookmarkEnd w:id="0"/>
    </w:p>
    <w:p w:rsidR="003B3B58" w:rsidRDefault="003B3B58">
      <w:pPr>
        <w:sectPr w:rsidR="003B3B58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</w:sectPr>
      </w:pPr>
    </w:p>
    <w:p w:rsidR="003B3B58" w:rsidRDefault="003B3B58">
      <w:pPr>
        <w:pStyle w:val="a3"/>
        <w:spacing w:before="171"/>
        <w:rPr>
          <w:sz w:val="24"/>
        </w:rPr>
      </w:pPr>
    </w:p>
    <w:p w:rsidR="00B12416" w:rsidRDefault="00F35EB1" w:rsidP="00B12416">
      <w:pPr>
        <w:tabs>
          <w:tab w:val="left" w:pos="2238"/>
        </w:tabs>
        <w:ind w:left="116"/>
        <w:rPr>
          <w:color w:val="231F20"/>
          <w:sz w:val="24"/>
          <w:u w:val="single" w:color="231F20"/>
        </w:rPr>
      </w:pPr>
      <w:r>
        <w:rPr>
          <w:color w:val="231F20"/>
          <w:spacing w:val="-2"/>
          <w:sz w:val="24"/>
          <w:u w:val="single" w:color="231F20"/>
        </w:rPr>
        <w:t>___</w:t>
      </w:r>
      <w:r w:rsidR="00B12416">
        <w:rPr>
          <w:color w:val="231F20"/>
          <w:spacing w:val="-2"/>
          <w:sz w:val="24"/>
          <w:u w:val="single" w:color="231F20"/>
        </w:rPr>
        <w:t>______</w:t>
      </w:r>
      <w:r>
        <w:rPr>
          <w:color w:val="231F20"/>
          <w:spacing w:val="-2"/>
          <w:sz w:val="24"/>
          <w:u w:val="single" w:color="231F20"/>
        </w:rPr>
        <w:t>__________</w:t>
      </w:r>
      <w:r w:rsidR="00124E04">
        <w:rPr>
          <w:color w:val="231F20"/>
          <w:sz w:val="24"/>
        </w:rPr>
        <w:t>№</w:t>
      </w:r>
      <w:r w:rsidR="00124E04"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  <w:u w:val="single" w:color="231F20"/>
        </w:rPr>
        <w:t>Ис</w:t>
      </w:r>
      <w:proofErr w:type="gramStart"/>
      <w:r>
        <w:rPr>
          <w:color w:val="231F20"/>
          <w:sz w:val="24"/>
          <w:u w:val="single" w:color="231F20"/>
        </w:rPr>
        <w:t>х</w:t>
      </w:r>
      <w:proofErr w:type="spellEnd"/>
      <w:r>
        <w:rPr>
          <w:color w:val="231F20"/>
          <w:sz w:val="24"/>
          <w:u w:val="single" w:color="231F20"/>
        </w:rPr>
        <w:t>-</w:t>
      </w:r>
      <w:proofErr w:type="gramEnd"/>
      <w:r>
        <w:rPr>
          <w:color w:val="231F20"/>
          <w:sz w:val="24"/>
          <w:u w:val="single" w:color="231F20"/>
        </w:rPr>
        <w:t>_</w:t>
      </w:r>
      <w:r w:rsidR="00B12416">
        <w:rPr>
          <w:color w:val="231F20"/>
          <w:sz w:val="24"/>
          <w:u w:val="single" w:color="231F20"/>
        </w:rPr>
        <w:t>_____</w:t>
      </w:r>
      <w:r w:rsidR="009D194C">
        <w:rPr>
          <w:color w:val="231F20"/>
          <w:sz w:val="24"/>
          <w:u w:val="single" w:color="231F20"/>
        </w:rPr>
        <w:t>/НКП СКАВ</w:t>
      </w:r>
      <w:r>
        <w:rPr>
          <w:color w:val="231F20"/>
          <w:sz w:val="24"/>
          <w:u w:val="single" w:color="231F20"/>
        </w:rPr>
        <w:t>_</w:t>
      </w:r>
    </w:p>
    <w:p w:rsidR="003B3B58" w:rsidRDefault="00124E04" w:rsidP="00B12416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z w:val="24"/>
        </w:rPr>
        <w:t xml:space="preserve">на №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 xml:space="preserve">от </w:t>
      </w:r>
      <w:r w:rsidR="00F35EB1">
        <w:rPr>
          <w:color w:val="231F20"/>
          <w:sz w:val="24"/>
          <w:u w:val="single" w:color="231F20"/>
        </w:rPr>
        <w:t>_____________</w:t>
      </w:r>
    </w:p>
    <w:p w:rsidR="003B3B58" w:rsidRDefault="003B3B58">
      <w:pPr>
        <w:pStyle w:val="a3"/>
      </w:pPr>
    </w:p>
    <w:p w:rsidR="009D194C" w:rsidRDefault="009D194C" w:rsidP="009D194C">
      <w:pPr>
        <w:pStyle w:val="a3"/>
        <w:spacing w:before="3"/>
        <w:jc w:val="center"/>
      </w:pPr>
    </w:p>
    <w:p w:rsidR="00B12416" w:rsidRDefault="00B12416" w:rsidP="00B12416">
      <w:pPr>
        <w:spacing w:line="28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ПАО «ТрансКонтейнер» информирует о внесении изменений в документаци</w:t>
      </w:r>
      <w:r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 xml:space="preserve"> о закупке </w:t>
      </w:r>
      <w:r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Pr="00B12416">
        <w:rPr>
          <w:b/>
          <w:bCs/>
          <w:sz w:val="28"/>
          <w:szCs w:val="28"/>
        </w:rPr>
        <w:t>ткрыт</w:t>
      </w:r>
      <w:r>
        <w:rPr>
          <w:b/>
          <w:bCs/>
          <w:sz w:val="28"/>
          <w:szCs w:val="28"/>
        </w:rPr>
        <w:t>ому</w:t>
      </w:r>
      <w:r w:rsidRPr="00B12416">
        <w:rPr>
          <w:b/>
          <w:bCs/>
          <w:sz w:val="28"/>
          <w:szCs w:val="28"/>
        </w:rPr>
        <w:t xml:space="preserve"> конкурс</w:t>
      </w:r>
      <w:r>
        <w:rPr>
          <w:b/>
          <w:bCs/>
          <w:sz w:val="28"/>
          <w:szCs w:val="28"/>
        </w:rPr>
        <w:t>у</w:t>
      </w:r>
      <w:r w:rsidRPr="00B12416">
        <w:rPr>
          <w:b/>
          <w:bCs/>
          <w:sz w:val="28"/>
          <w:szCs w:val="28"/>
        </w:rPr>
        <w:t xml:space="preserve"> в электронной форме № ОКэ-НКПСКЖД-24-0005 по предмету закупки «Оказание услуг по заправке дизельным топливом погрузчиков контейнерного терминала </w:t>
      </w:r>
      <w:proofErr w:type="gramStart"/>
      <w:r w:rsidRPr="00B12416">
        <w:rPr>
          <w:b/>
          <w:bCs/>
          <w:sz w:val="28"/>
          <w:szCs w:val="28"/>
        </w:rPr>
        <w:t>Ростов-Товарный</w:t>
      </w:r>
      <w:proofErr w:type="gramEnd"/>
      <w:r w:rsidRPr="00B12416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:rsidR="00B12416" w:rsidRDefault="00B12416" w:rsidP="00B12416">
      <w:pPr>
        <w:spacing w:line="280" w:lineRule="exact"/>
        <w:jc w:val="both"/>
        <w:rPr>
          <w:b/>
          <w:sz w:val="28"/>
          <w:szCs w:val="28"/>
        </w:rPr>
      </w:pPr>
    </w:p>
    <w:p w:rsidR="00B12416" w:rsidRPr="00B12416" w:rsidRDefault="00B12416" w:rsidP="00B12416">
      <w:pPr>
        <w:pStyle w:val="1"/>
        <w:suppressAutoHyphens/>
        <w:rPr>
          <w:b/>
          <w:szCs w:val="28"/>
          <w:lang w:val="ru-RU"/>
        </w:rPr>
      </w:pPr>
    </w:p>
    <w:p w:rsidR="00B12416" w:rsidRDefault="00B12416" w:rsidP="00B1241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Изменения </w:t>
      </w:r>
      <w:r>
        <w:rPr>
          <w:color w:val="000000" w:themeColor="text1"/>
          <w:sz w:val="28"/>
          <w:szCs w:val="28"/>
        </w:rPr>
        <w:t>внесены в пункт 19 раздела 5 Информационной карты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Документации о закупке, а именно конкретизированы критерии оценки.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B12416" w:rsidRPr="00B12416" w:rsidTr="00F52F9D">
        <w:tc>
          <w:tcPr>
            <w:tcW w:w="426" w:type="dxa"/>
          </w:tcPr>
          <w:p w:rsidR="00B12416" w:rsidRPr="00B12416" w:rsidRDefault="00B12416" w:rsidP="00B12416">
            <w:pPr>
              <w:keepNext/>
              <w:widowControl/>
              <w:suppressAutoHyphens/>
              <w:autoSpaceDE/>
              <w:autoSpaceDN/>
              <w:ind w:left="-57" w:right="-108"/>
              <w:jc w:val="both"/>
              <w:rPr>
                <w:rFonts w:eastAsia="Arial"/>
                <w:b/>
                <w:sz w:val="24"/>
                <w:szCs w:val="24"/>
                <w:lang w:eastAsia="ar-SA"/>
              </w:rPr>
            </w:pPr>
            <w:r w:rsidRPr="00B12416">
              <w:rPr>
                <w:rFonts w:eastAsia="Arial"/>
                <w:b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126" w:type="dxa"/>
          </w:tcPr>
          <w:p w:rsidR="00B12416" w:rsidRPr="00B12416" w:rsidRDefault="00B12416" w:rsidP="00B12416">
            <w:pPr>
              <w:keepNext/>
              <w:widowControl/>
              <w:suppressAutoHyphens/>
              <w:autoSpaceDN/>
              <w:rPr>
                <w:rFonts w:eastAsia="Arial"/>
                <w:b/>
                <w:sz w:val="24"/>
                <w:szCs w:val="24"/>
                <w:lang w:eastAsia="ar-SA"/>
              </w:rPr>
            </w:pPr>
            <w:r w:rsidRPr="00B12416">
              <w:rPr>
                <w:rFonts w:eastAsia="Arial"/>
                <w:b/>
                <w:sz w:val="24"/>
                <w:szCs w:val="24"/>
                <w:lang w:eastAsia="ar-SA"/>
              </w:rPr>
              <w:t>Критерии оценки при сопоставлении Заявок и коэффициент их значимости (</w:t>
            </w:r>
            <w:proofErr w:type="spellStart"/>
            <w:proofErr w:type="gramStart"/>
            <w:r w:rsidRPr="00B12416">
              <w:rPr>
                <w:rFonts w:eastAsia="Arial"/>
                <w:b/>
                <w:sz w:val="24"/>
                <w:szCs w:val="24"/>
                <w:lang w:eastAsia="ar-SA"/>
              </w:rPr>
              <w:t>Кз</w:t>
            </w:r>
            <w:proofErr w:type="spellEnd"/>
            <w:proofErr w:type="gramEnd"/>
            <w:r w:rsidRPr="00B12416">
              <w:rPr>
                <w:rFonts w:eastAsia="Arial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200" w:type="dxa"/>
          </w:tcPr>
          <w:tbl>
            <w:tblPr>
              <w:tblStyle w:val="10"/>
              <w:tblW w:w="6974" w:type="dxa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551"/>
            </w:tblGrid>
            <w:tr w:rsidR="00B12416" w:rsidRPr="00B12416" w:rsidTr="00F52F9D">
              <w:tc>
                <w:tcPr>
                  <w:tcW w:w="4423" w:type="dxa"/>
                </w:tcPr>
                <w:p w:rsidR="00B12416" w:rsidRPr="00B12416" w:rsidRDefault="00B12416" w:rsidP="00B12416">
                  <w:pPr>
                    <w:keepNext/>
                    <w:suppressAutoHyphens/>
                    <w:ind w:firstLine="709"/>
                    <w:jc w:val="both"/>
                    <w:rPr>
                      <w:rFonts w:eastAsia="MS Mincho"/>
                      <w:b/>
                      <w:sz w:val="24"/>
                      <w:szCs w:val="24"/>
                      <w:lang w:eastAsia="ar-SA"/>
                    </w:rPr>
                  </w:pPr>
                  <w:r w:rsidRPr="00B12416">
                    <w:rPr>
                      <w:rFonts w:eastAsia="MS Mincho"/>
                      <w:b/>
                      <w:sz w:val="24"/>
                      <w:szCs w:val="24"/>
                      <w:lang w:eastAsia="ar-SA"/>
                    </w:rPr>
                    <w:t>Критерий оценки</w:t>
                  </w:r>
                </w:p>
              </w:tc>
              <w:tc>
                <w:tcPr>
                  <w:tcW w:w="2551" w:type="dxa"/>
                </w:tcPr>
                <w:p w:rsidR="00B12416" w:rsidRPr="00B12416" w:rsidRDefault="00B12416" w:rsidP="00B12416">
                  <w:pPr>
                    <w:keepNext/>
                    <w:suppressAutoHyphens/>
                    <w:jc w:val="both"/>
                    <w:rPr>
                      <w:rFonts w:eastAsia="MS Mincho"/>
                      <w:b/>
                      <w:sz w:val="24"/>
                      <w:szCs w:val="24"/>
                      <w:lang w:eastAsia="ar-SA"/>
                    </w:rPr>
                  </w:pPr>
                  <w:r w:rsidRPr="00B12416">
                    <w:rPr>
                      <w:rFonts w:eastAsia="MS Mincho"/>
                      <w:b/>
                      <w:sz w:val="24"/>
                      <w:szCs w:val="24"/>
                      <w:lang w:eastAsia="ar-SA"/>
                    </w:rPr>
                    <w:t xml:space="preserve">Значение </w:t>
                  </w:r>
                  <w:proofErr w:type="spellStart"/>
                  <w:proofErr w:type="gramStart"/>
                  <w:r w:rsidRPr="00B12416">
                    <w:rPr>
                      <w:rFonts w:eastAsia="MS Mincho"/>
                      <w:b/>
                      <w:sz w:val="24"/>
                      <w:szCs w:val="24"/>
                      <w:lang w:eastAsia="ar-SA"/>
                    </w:rPr>
                    <w:t>Кз</w:t>
                  </w:r>
                  <w:proofErr w:type="spellEnd"/>
                  <w:proofErr w:type="gramEnd"/>
                </w:p>
              </w:tc>
            </w:tr>
            <w:tr w:rsidR="00B12416" w:rsidRPr="00B12416" w:rsidTr="00F52F9D">
              <w:tc>
                <w:tcPr>
                  <w:tcW w:w="4423" w:type="dxa"/>
                </w:tcPr>
                <w:p w:rsidR="00B12416" w:rsidRPr="00B12416" w:rsidRDefault="00B12416" w:rsidP="00B12416">
                  <w:pPr>
                    <w:keepNext/>
                    <w:suppressAutoHyphens/>
                    <w:jc w:val="both"/>
                    <w:rPr>
                      <w:rFonts w:eastAsia="MS Mincho"/>
                      <w:sz w:val="24"/>
                      <w:szCs w:val="24"/>
                      <w:highlight w:val="yellow"/>
                      <w:lang w:eastAsia="ar-SA"/>
                    </w:rPr>
                  </w:pPr>
                  <w:r w:rsidRPr="00B12416">
                    <w:rPr>
                      <w:rFonts w:eastAsia="MS Mincho"/>
                      <w:sz w:val="24"/>
                      <w:szCs w:val="24"/>
                      <w:lang w:eastAsia="ar-SA"/>
                    </w:rPr>
                    <w:t>Величина составляющей «b» в формуле цены (подпункт 4.5.1 пункта 4.5 раздела 4 «Техническое задание» документации о закупке) - летнее дизельное топливо, зимнее дизельное топливо, межсезонное дизельное топливо</w:t>
                  </w:r>
                  <w:r>
                    <w:rPr>
                      <w:rFonts w:eastAsia="MS Mincho"/>
                      <w:sz w:val="24"/>
                      <w:szCs w:val="24"/>
                      <w:lang w:eastAsia="ar-SA"/>
                    </w:rPr>
                    <w:t xml:space="preserve">. </w:t>
                  </w:r>
                  <w:r w:rsidRPr="00B12416">
                    <w:rPr>
                      <w:rFonts w:eastAsia="MS Mincho"/>
                      <w:sz w:val="24"/>
                      <w:szCs w:val="24"/>
                      <w:lang w:eastAsia="ar-SA"/>
                    </w:rPr>
                    <w:t>Наилучшим считается предложение с наименьш</w:t>
                  </w:r>
                  <w:r>
                    <w:rPr>
                      <w:rFonts w:eastAsia="MS Mincho"/>
                      <w:sz w:val="24"/>
                      <w:szCs w:val="24"/>
                      <w:lang w:eastAsia="ar-SA"/>
                    </w:rPr>
                    <w:t xml:space="preserve">ей </w:t>
                  </w:r>
                  <w:r w:rsidRPr="00B12416">
                    <w:rPr>
                      <w:rFonts w:eastAsia="MS Mincho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eastAsia="MS Mincho"/>
                      <w:sz w:val="24"/>
                      <w:szCs w:val="24"/>
                      <w:lang w:eastAsia="ar-SA"/>
                    </w:rPr>
                    <w:t>в</w:t>
                  </w:r>
                  <w:r w:rsidRPr="00B12416">
                    <w:rPr>
                      <w:rFonts w:eastAsia="MS Mincho"/>
                      <w:sz w:val="24"/>
                      <w:szCs w:val="24"/>
                      <w:lang w:eastAsia="ar-SA"/>
                    </w:rPr>
                    <w:t>еличин</w:t>
                  </w:r>
                  <w:r>
                    <w:rPr>
                      <w:rFonts w:eastAsia="MS Mincho"/>
                      <w:sz w:val="24"/>
                      <w:szCs w:val="24"/>
                      <w:lang w:eastAsia="ar-SA"/>
                    </w:rPr>
                    <w:t>ой</w:t>
                  </w:r>
                  <w:r w:rsidRPr="00B12416">
                    <w:rPr>
                      <w:rFonts w:eastAsia="MS Mincho"/>
                      <w:sz w:val="24"/>
                      <w:szCs w:val="24"/>
                      <w:lang w:eastAsia="ar-SA"/>
                    </w:rPr>
                    <w:t xml:space="preserve"> составляющей «b». </w:t>
                  </w:r>
                  <w:r w:rsidRPr="00B12416">
                    <w:rPr>
                      <w:rFonts w:eastAsia="MS Mincho"/>
                      <w:sz w:val="24"/>
                      <w:szCs w:val="24"/>
                      <w:lang w:eastAsia="ar-SA"/>
                    </w:rPr>
                    <w:t xml:space="preserve">       </w:t>
                  </w:r>
                </w:p>
              </w:tc>
              <w:tc>
                <w:tcPr>
                  <w:tcW w:w="2551" w:type="dxa"/>
                </w:tcPr>
                <w:p w:rsidR="00B12416" w:rsidRPr="00B12416" w:rsidRDefault="00B12416" w:rsidP="00B12416">
                  <w:pPr>
                    <w:keepNext/>
                    <w:suppressAutoHyphens/>
                    <w:jc w:val="both"/>
                    <w:rPr>
                      <w:rFonts w:eastAsia="MS Mincho"/>
                      <w:sz w:val="24"/>
                      <w:szCs w:val="24"/>
                      <w:lang w:eastAsia="ar-SA"/>
                    </w:rPr>
                  </w:pPr>
                  <w:r w:rsidRPr="00B12416">
                    <w:rPr>
                      <w:rFonts w:eastAsia="MS Mincho"/>
                      <w:sz w:val="24"/>
                      <w:szCs w:val="24"/>
                      <w:lang w:eastAsia="ar-SA"/>
                    </w:rPr>
                    <w:t>0,75</w:t>
                  </w:r>
                </w:p>
              </w:tc>
            </w:tr>
            <w:tr w:rsidR="00B12416" w:rsidRPr="00B12416" w:rsidTr="00F52F9D">
              <w:tc>
                <w:tcPr>
                  <w:tcW w:w="4423" w:type="dxa"/>
                </w:tcPr>
                <w:p w:rsidR="00B12416" w:rsidRPr="00B12416" w:rsidRDefault="00B12416" w:rsidP="00B12416">
                  <w:pPr>
                    <w:keepNext/>
                    <w:suppressAutoHyphens/>
                    <w:jc w:val="both"/>
                    <w:rPr>
                      <w:rFonts w:eastAsia="MS Mincho"/>
                      <w:sz w:val="24"/>
                      <w:szCs w:val="24"/>
                      <w:highlight w:val="yellow"/>
                      <w:lang w:eastAsia="ar-SA"/>
                    </w:rPr>
                  </w:pPr>
                  <w:r w:rsidRPr="00B12416">
                    <w:rPr>
                      <w:rFonts w:eastAsia="MS Mincho"/>
                      <w:sz w:val="24"/>
                      <w:szCs w:val="24"/>
                      <w:lang w:eastAsia="ar-SA"/>
                    </w:rPr>
                    <w:t xml:space="preserve">Порядок оплаты. Наилучшим считается предложение с наименьшим процентом авансирования. </w:t>
                  </w:r>
                </w:p>
              </w:tc>
              <w:tc>
                <w:tcPr>
                  <w:tcW w:w="2551" w:type="dxa"/>
                </w:tcPr>
                <w:p w:rsidR="00B12416" w:rsidRPr="00B12416" w:rsidRDefault="00B12416" w:rsidP="00B12416">
                  <w:pPr>
                    <w:keepNext/>
                    <w:suppressAutoHyphens/>
                    <w:jc w:val="both"/>
                    <w:rPr>
                      <w:rFonts w:eastAsia="MS Mincho"/>
                      <w:sz w:val="24"/>
                      <w:szCs w:val="24"/>
                      <w:lang w:eastAsia="ar-SA"/>
                    </w:rPr>
                  </w:pPr>
                  <w:r w:rsidRPr="00B12416">
                    <w:rPr>
                      <w:rFonts w:eastAsia="MS Mincho"/>
                      <w:sz w:val="24"/>
                      <w:szCs w:val="24"/>
                      <w:lang w:eastAsia="ar-SA"/>
                    </w:rPr>
                    <w:t>0,25</w:t>
                  </w:r>
                </w:p>
              </w:tc>
            </w:tr>
          </w:tbl>
          <w:p w:rsidR="00B12416" w:rsidRPr="00B12416" w:rsidRDefault="00B12416" w:rsidP="00B12416">
            <w:pPr>
              <w:keepNext/>
              <w:widowControl/>
              <w:suppressAutoHyphens/>
              <w:autoSpaceDE/>
              <w:autoSpaceDN/>
              <w:ind w:firstLine="709"/>
              <w:jc w:val="both"/>
              <w:rPr>
                <w:rFonts w:eastAsia="MS Mincho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:rsidR="00B12416" w:rsidRDefault="00B12416" w:rsidP="00B12416">
      <w:pPr>
        <w:spacing w:before="60" w:after="60"/>
        <w:jc w:val="both"/>
        <w:rPr>
          <w:sz w:val="28"/>
          <w:szCs w:val="28"/>
        </w:rPr>
      </w:pPr>
    </w:p>
    <w:p w:rsidR="00B12416" w:rsidRDefault="00B12416" w:rsidP="00B12416">
      <w:pPr>
        <w:spacing w:before="60" w:after="60"/>
        <w:jc w:val="both"/>
        <w:rPr>
          <w:sz w:val="28"/>
          <w:szCs w:val="28"/>
        </w:rPr>
      </w:pPr>
    </w:p>
    <w:p w:rsidR="00B12416" w:rsidRDefault="00B12416" w:rsidP="00B12416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постоянной рабочей группы </w:t>
      </w:r>
    </w:p>
    <w:p w:rsidR="00B12416" w:rsidRDefault="00B12416" w:rsidP="00B12416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</w:t>
      </w:r>
    </w:p>
    <w:p w:rsidR="00B12416" w:rsidRDefault="00B12416" w:rsidP="00B12416">
      <w:pPr>
        <w:tabs>
          <w:tab w:val="left" w:pos="5103"/>
        </w:tabs>
        <w:ind w:left="4962" w:hanging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филиала ПАО «ТрансКонтейнер» </w:t>
      </w:r>
    </w:p>
    <w:p w:rsidR="00B12416" w:rsidRDefault="00B12416" w:rsidP="00B12416">
      <w:pPr>
        <w:tabs>
          <w:tab w:val="left" w:pos="5103"/>
        </w:tabs>
        <w:ind w:left="4962" w:hanging="4962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Северо-Кавказской железной дороге</w:t>
      </w:r>
      <w:r>
        <w:rPr>
          <w:sz w:val="28"/>
          <w:szCs w:val="28"/>
        </w:rPr>
        <w:tab/>
        <w:t xml:space="preserve">                                                   </w:t>
      </w:r>
    </w:p>
    <w:p w:rsidR="00017EF1" w:rsidRPr="00017EF1" w:rsidRDefault="00017EF1" w:rsidP="00B12416">
      <w:pPr>
        <w:widowControl/>
        <w:autoSpaceDE/>
        <w:autoSpaceDN/>
        <w:rPr>
          <w:sz w:val="24"/>
          <w:szCs w:val="24"/>
          <w:lang w:eastAsia="ru-RU"/>
        </w:rPr>
      </w:pPr>
    </w:p>
    <w:sectPr w:rsidR="00017EF1" w:rsidRPr="00017EF1">
      <w:type w:val="continuous"/>
      <w:pgSz w:w="11910" w:h="16840"/>
      <w:pgMar w:top="640" w:right="7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14" w:rsidRDefault="00907314" w:rsidP="00D23E8E">
      <w:r>
        <w:separator/>
      </w:r>
    </w:p>
  </w:endnote>
  <w:endnote w:type="continuationSeparator" w:id="0">
    <w:p w:rsidR="00907314" w:rsidRDefault="00907314" w:rsidP="00D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14" w:rsidRDefault="00907314" w:rsidP="00D23E8E">
      <w:r>
        <w:separator/>
      </w:r>
    </w:p>
  </w:footnote>
  <w:footnote w:type="continuationSeparator" w:id="0">
    <w:p w:rsidR="00907314" w:rsidRDefault="00907314" w:rsidP="00D2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7B82"/>
    <w:multiLevelType w:val="hybridMultilevel"/>
    <w:tmpl w:val="D7DA8892"/>
    <w:lvl w:ilvl="0" w:tplc="CDBE72D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DC5FE1"/>
    <w:multiLevelType w:val="hybridMultilevel"/>
    <w:tmpl w:val="B592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3B58"/>
    <w:rsid w:val="00017EF1"/>
    <w:rsid w:val="00124E04"/>
    <w:rsid w:val="001512CC"/>
    <w:rsid w:val="00212A3B"/>
    <w:rsid w:val="00305C93"/>
    <w:rsid w:val="003120E6"/>
    <w:rsid w:val="00350FD1"/>
    <w:rsid w:val="00385707"/>
    <w:rsid w:val="003B3B58"/>
    <w:rsid w:val="00425310"/>
    <w:rsid w:val="004706A2"/>
    <w:rsid w:val="00615363"/>
    <w:rsid w:val="007F7751"/>
    <w:rsid w:val="00907314"/>
    <w:rsid w:val="009D194C"/>
    <w:rsid w:val="00B01B25"/>
    <w:rsid w:val="00B12416"/>
    <w:rsid w:val="00C91C6A"/>
    <w:rsid w:val="00D23E8E"/>
    <w:rsid w:val="00DA7DC0"/>
    <w:rsid w:val="00E05A2A"/>
    <w:rsid w:val="00E06ABD"/>
    <w:rsid w:val="00F35EB1"/>
    <w:rsid w:val="00F4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35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EB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uiPriority w:val="22"/>
    <w:qFormat/>
    <w:rsid w:val="009D194C"/>
    <w:rPr>
      <w:b/>
      <w:bCs/>
    </w:rPr>
  </w:style>
  <w:style w:type="character" w:styleId="a9">
    <w:name w:val="Hyperlink"/>
    <w:rsid w:val="00D23E8E"/>
    <w:rPr>
      <w:color w:val="0000FF"/>
      <w:u w:val="single"/>
    </w:rPr>
  </w:style>
  <w:style w:type="paragraph" w:styleId="aa">
    <w:name w:val="footnote text"/>
    <w:basedOn w:val="a"/>
    <w:link w:val="ab"/>
    <w:rsid w:val="00D23E8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23E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uiPriority w:val="99"/>
    <w:rsid w:val="00D23E8E"/>
    <w:rPr>
      <w:vertAlign w:val="superscript"/>
    </w:rPr>
  </w:style>
  <w:style w:type="paragraph" w:styleId="ad">
    <w:name w:val="Body Text Indent"/>
    <w:basedOn w:val="a"/>
    <w:link w:val="ae"/>
    <w:uiPriority w:val="99"/>
    <w:semiHidden/>
    <w:unhideWhenUsed/>
    <w:rsid w:val="001512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512CC"/>
    <w:rPr>
      <w:rFonts w:ascii="Times New Roman" w:eastAsia="Times New Roman" w:hAnsi="Times New Roman" w:cs="Times New Roman"/>
      <w:lang w:val="ru-RU"/>
    </w:rPr>
  </w:style>
  <w:style w:type="table" w:styleId="af">
    <w:name w:val="Table Grid"/>
    <w:basedOn w:val="a1"/>
    <w:uiPriority w:val="39"/>
    <w:rsid w:val="0015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">
    <w:name w:val="Normal Знак"/>
    <w:basedOn w:val="a0"/>
    <w:link w:val="1"/>
    <w:locked/>
    <w:rsid w:val="00B124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link w:val="Normal"/>
    <w:qFormat/>
    <w:rsid w:val="00B12416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f"/>
    <w:uiPriority w:val="59"/>
    <w:rsid w:val="00B124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35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EB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uiPriority w:val="22"/>
    <w:qFormat/>
    <w:rsid w:val="009D194C"/>
    <w:rPr>
      <w:b/>
      <w:bCs/>
    </w:rPr>
  </w:style>
  <w:style w:type="character" w:styleId="a9">
    <w:name w:val="Hyperlink"/>
    <w:rsid w:val="00D23E8E"/>
    <w:rPr>
      <w:color w:val="0000FF"/>
      <w:u w:val="single"/>
    </w:rPr>
  </w:style>
  <w:style w:type="paragraph" w:styleId="aa">
    <w:name w:val="footnote text"/>
    <w:basedOn w:val="a"/>
    <w:link w:val="ab"/>
    <w:rsid w:val="00D23E8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23E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uiPriority w:val="99"/>
    <w:rsid w:val="00D23E8E"/>
    <w:rPr>
      <w:vertAlign w:val="superscript"/>
    </w:rPr>
  </w:style>
  <w:style w:type="paragraph" w:styleId="ad">
    <w:name w:val="Body Text Indent"/>
    <w:basedOn w:val="a"/>
    <w:link w:val="ae"/>
    <w:uiPriority w:val="99"/>
    <w:semiHidden/>
    <w:unhideWhenUsed/>
    <w:rsid w:val="001512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512CC"/>
    <w:rPr>
      <w:rFonts w:ascii="Times New Roman" w:eastAsia="Times New Roman" w:hAnsi="Times New Roman" w:cs="Times New Roman"/>
      <w:lang w:val="ru-RU"/>
    </w:rPr>
  </w:style>
  <w:style w:type="table" w:styleId="af">
    <w:name w:val="Table Grid"/>
    <w:basedOn w:val="a1"/>
    <w:uiPriority w:val="39"/>
    <w:rsid w:val="0015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">
    <w:name w:val="Normal Знак"/>
    <w:basedOn w:val="a0"/>
    <w:link w:val="1"/>
    <w:locked/>
    <w:rsid w:val="00B124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link w:val="Normal"/>
    <w:qFormat/>
    <w:rsid w:val="00B12416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f"/>
    <w:uiPriority w:val="59"/>
    <w:rsid w:val="00B124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zd@trco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письма_Кавказ</vt:lpstr>
    </vt:vector>
  </TitlesOfParts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письма_Кавказ</dc:title>
  <dc:creator>Дидык Максим Петрович</dc:creator>
  <cp:lastModifiedBy>Дидык Максим Петрович</cp:lastModifiedBy>
  <cp:revision>3</cp:revision>
  <cp:lastPrinted>2024-06-19T11:37:00Z</cp:lastPrinted>
  <dcterms:created xsi:type="dcterms:W3CDTF">2024-08-30T04:55:00Z</dcterms:created>
  <dcterms:modified xsi:type="dcterms:W3CDTF">2024-08-30T05:07:00Z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2024-04-23T00:00:00Z</vt:filetime>
  </property>
  <property fmtid="{D5CDD505-2E9C-101B-9397-08002B2CF9AE}" pid="5" name="Producer">
    <vt:lpwstr>Adobe PDF library 17.00</vt:lpwstr>
  </property>
</Properties>
</file>