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E0DB2" w:rsidP="004948D5">
      <w:pPr>
        <w:tabs>
          <w:tab w:val="clear" w:pos="709"/>
        </w:tabs>
        <w:ind w:left="4536" w:firstLine="0"/>
        <w:rPr>
          <w:b/>
        </w:rPr>
      </w:pPr>
      <w:r>
        <w:rPr>
          <w:b/>
        </w:rPr>
        <w:t>Председатель</w:t>
      </w:r>
      <w:r w:rsidR="004948D5" w:rsidRPr="004948D5">
        <w:rPr>
          <w:b/>
        </w:rPr>
        <w:t xml:space="preserve"> Конкурсной комиссии</w:t>
      </w:r>
    </w:p>
    <w:p w:rsidR="004948D5" w:rsidRDefault="00FE063A" w:rsidP="004948D5">
      <w:pPr>
        <w:tabs>
          <w:tab w:val="clear" w:pos="709"/>
        </w:tabs>
        <w:ind w:left="4536" w:firstLine="0"/>
        <w:rPr>
          <w:b/>
        </w:rPr>
      </w:pPr>
      <w:r>
        <w:rPr>
          <w:b/>
        </w:rPr>
        <w:t xml:space="preserve">филиала </w:t>
      </w:r>
      <w:r w:rsidR="00FD47C4">
        <w:rPr>
          <w:b/>
        </w:rPr>
        <w:t>П</w:t>
      </w:r>
      <w:r w:rsidR="004948D5" w:rsidRPr="004948D5">
        <w:rPr>
          <w:b/>
        </w:rPr>
        <w:t xml:space="preserve">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4E0DB2">
        <w:rPr>
          <w:b/>
        </w:rPr>
        <w:t>Д.И. Мельничук</w:t>
      </w:r>
    </w:p>
    <w:p w:rsidR="004948D5" w:rsidRPr="004948D5" w:rsidRDefault="004948D5" w:rsidP="004948D5">
      <w:pPr>
        <w:tabs>
          <w:tab w:val="clear" w:pos="709"/>
        </w:tabs>
        <w:ind w:left="4536" w:firstLine="0"/>
        <w:rPr>
          <w:b/>
        </w:rPr>
      </w:pPr>
    </w:p>
    <w:p w:rsidR="004948D5" w:rsidRPr="004948D5" w:rsidRDefault="00FD47C4" w:rsidP="004948D5">
      <w:pPr>
        <w:tabs>
          <w:tab w:val="clear" w:pos="709"/>
        </w:tabs>
        <w:ind w:left="4536" w:firstLine="0"/>
        <w:rPr>
          <w:b/>
        </w:rPr>
      </w:pPr>
      <w:r>
        <w:rPr>
          <w:b/>
        </w:rPr>
        <w:t>«___</w:t>
      </w:r>
      <w:r w:rsidR="004948D5" w:rsidRPr="004948D5">
        <w:rPr>
          <w:b/>
        </w:rPr>
        <w:t>»</w:t>
      </w:r>
      <w:r w:rsidR="00FE063A">
        <w:rPr>
          <w:b/>
        </w:rPr>
        <w:t xml:space="preserve"> </w:t>
      </w:r>
      <w:r>
        <w:rPr>
          <w:b/>
        </w:rPr>
        <w:t>_________________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5947CE" w:rsidRPr="005947CE" w:rsidRDefault="00FE063A" w:rsidP="005947CE">
      <w:pPr>
        <w:pStyle w:val="1"/>
        <w:suppressAutoHyphens/>
        <w:ind w:firstLine="709"/>
        <w:jc w:val="center"/>
        <w:rPr>
          <w:b/>
          <w:i/>
        </w:rPr>
      </w:pPr>
      <w:proofErr w:type="gramStart"/>
      <w:r w:rsidRPr="005947CE">
        <w:rPr>
          <w:b/>
          <w:bCs/>
          <w:i/>
          <w:szCs w:val="28"/>
        </w:rPr>
        <w:t xml:space="preserve">филиал </w:t>
      </w:r>
      <w:r w:rsidR="00FD47C4">
        <w:rPr>
          <w:b/>
          <w:bCs/>
          <w:i/>
          <w:szCs w:val="28"/>
        </w:rPr>
        <w:t>ПАО «ТрансКонтейне</w:t>
      </w:r>
      <w:r w:rsidR="00FC23BA">
        <w:rPr>
          <w:b/>
          <w:bCs/>
          <w:i/>
          <w:szCs w:val="28"/>
        </w:rPr>
        <w:t>р</w:t>
      </w:r>
      <w:r w:rsidR="00FD47C4">
        <w:rPr>
          <w:b/>
          <w:bCs/>
          <w:i/>
          <w:szCs w:val="28"/>
        </w:rPr>
        <w:t>»</w:t>
      </w:r>
      <w:r w:rsidR="00BF6CC4" w:rsidRPr="005947CE">
        <w:rPr>
          <w:b/>
          <w:bCs/>
          <w:i/>
          <w:szCs w:val="28"/>
        </w:rPr>
        <w:t xml:space="preserve"> </w:t>
      </w:r>
      <w:r w:rsidRPr="005947CE">
        <w:rPr>
          <w:b/>
          <w:bCs/>
          <w:i/>
          <w:szCs w:val="28"/>
        </w:rPr>
        <w:t xml:space="preserve">на Октябрьской железной дороге </w:t>
      </w:r>
      <w:r w:rsidR="00BF6CC4" w:rsidRPr="005947CE">
        <w:rPr>
          <w:b/>
          <w:bCs/>
          <w:i/>
          <w:szCs w:val="28"/>
        </w:rPr>
        <w:t>информирует о внесении и</w:t>
      </w:r>
      <w:r w:rsidR="00BF6CC4" w:rsidRPr="005947CE">
        <w:rPr>
          <w:b/>
          <w:i/>
          <w:szCs w:val="28"/>
        </w:rPr>
        <w:t>зменений</w:t>
      </w:r>
      <w:r w:rsidR="004948D5" w:rsidRPr="005947CE">
        <w:rPr>
          <w:b/>
          <w:i/>
          <w:szCs w:val="28"/>
        </w:rPr>
        <w:t xml:space="preserve"> </w:t>
      </w:r>
      <w:r w:rsidR="00653CE4" w:rsidRPr="005947CE">
        <w:rPr>
          <w:b/>
          <w:i/>
          <w:szCs w:val="28"/>
        </w:rPr>
        <w:t xml:space="preserve">в </w:t>
      </w:r>
      <w:r w:rsidR="00F41A38" w:rsidRPr="005947CE">
        <w:rPr>
          <w:b/>
          <w:i/>
          <w:szCs w:val="28"/>
        </w:rPr>
        <w:t xml:space="preserve">документацию о закупке </w:t>
      </w:r>
      <w:r w:rsidR="00FD47C4">
        <w:rPr>
          <w:b/>
          <w:i/>
          <w:szCs w:val="28"/>
        </w:rPr>
        <w:t>способом размещения оферты</w:t>
      </w:r>
      <w:r w:rsidRPr="005947CE">
        <w:rPr>
          <w:b/>
          <w:i/>
          <w:szCs w:val="28"/>
        </w:rPr>
        <w:t xml:space="preserve"> </w:t>
      </w:r>
      <w:r w:rsidR="00F41A38" w:rsidRPr="005947CE">
        <w:rPr>
          <w:b/>
          <w:i/>
          <w:szCs w:val="28"/>
        </w:rPr>
        <w:t>№</w:t>
      </w:r>
      <w:r w:rsidRPr="005947CE">
        <w:rPr>
          <w:b/>
          <w:i/>
          <w:szCs w:val="28"/>
        </w:rPr>
        <w:t> </w:t>
      </w:r>
      <w:r w:rsidR="00FD47C4">
        <w:rPr>
          <w:b/>
          <w:i/>
          <w:szCs w:val="28"/>
        </w:rPr>
        <w:t>РО-НКПОКТ-16-0015</w:t>
      </w:r>
      <w:r w:rsidR="004948D5" w:rsidRPr="005947CE">
        <w:rPr>
          <w:b/>
          <w:i/>
          <w:szCs w:val="28"/>
        </w:rPr>
        <w:t xml:space="preserve"> </w:t>
      </w:r>
      <w:r w:rsidR="00944861" w:rsidRPr="005947CE">
        <w:rPr>
          <w:b/>
          <w:i/>
          <w:szCs w:val="28"/>
        </w:rPr>
        <w:t>(</w:t>
      </w:r>
      <w:r w:rsidR="00FD47C4" w:rsidRPr="00FD47C4">
        <w:rPr>
          <w:b/>
          <w:i/>
          <w:szCs w:val="28"/>
        </w:rPr>
        <w:t>далее – процедура Размещение оферты</w:t>
      </w:r>
      <w:r w:rsidR="00944861" w:rsidRPr="005947CE">
        <w:rPr>
          <w:b/>
          <w:i/>
          <w:szCs w:val="28"/>
        </w:rPr>
        <w:t xml:space="preserve">) </w:t>
      </w:r>
      <w:r w:rsidRPr="005947CE">
        <w:rPr>
          <w:b/>
          <w:i/>
          <w:szCs w:val="28"/>
        </w:rPr>
        <w:t>на право заключения договора</w:t>
      </w:r>
      <w:r w:rsidRPr="005947CE">
        <w:rPr>
          <w:b/>
          <w:i/>
        </w:rPr>
        <w:t xml:space="preserve"> </w:t>
      </w:r>
      <w:r w:rsidR="00FD47C4" w:rsidRPr="00FD47C4">
        <w:rPr>
          <w:b/>
          <w:i/>
          <w:szCs w:val="28"/>
        </w:rPr>
        <w:t>на покупку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w:t>
      </w:r>
      <w:proofErr w:type="spellStart"/>
      <w:r w:rsidR="00FD47C4" w:rsidRPr="00FD47C4">
        <w:rPr>
          <w:b/>
          <w:i/>
          <w:szCs w:val="28"/>
        </w:rPr>
        <w:t>Бронка</w:t>
      </w:r>
      <w:proofErr w:type="spellEnd"/>
      <w:r w:rsidR="00FD47C4" w:rsidRPr="00FD47C4">
        <w:rPr>
          <w:b/>
          <w:i/>
          <w:szCs w:val="28"/>
        </w:rPr>
        <w:t>» (Большой порт Санкт-Петербург</w:t>
      </w:r>
      <w:proofErr w:type="gramEnd"/>
      <w:r w:rsidR="00FD47C4" w:rsidRPr="00FD47C4">
        <w:rPr>
          <w:b/>
          <w:i/>
          <w:szCs w:val="28"/>
        </w:rPr>
        <w:t>) в 2016 г.</w:t>
      </w:r>
    </w:p>
    <w:p w:rsidR="00F206F4" w:rsidRDefault="00F206F4" w:rsidP="00F206F4">
      <w:pPr>
        <w:jc w:val="both"/>
      </w:pPr>
      <w:r>
        <w:t xml:space="preserve">1. В извещении о проведении закупки способом размещения оферты </w:t>
      </w:r>
      <w:r>
        <w:br/>
        <w:t xml:space="preserve">№ </w:t>
      </w:r>
      <w:r w:rsidR="001B1857" w:rsidRPr="001B1857">
        <w:rPr>
          <w:szCs w:val="28"/>
        </w:rPr>
        <w:t>РО-НКПОКТ-16-0015</w:t>
      </w:r>
      <w:r>
        <w:t xml:space="preserve"> (далее – Извещение) вместо текста </w:t>
      </w:r>
      <w:r w:rsidR="001B1857" w:rsidRPr="001B1857">
        <w:rPr>
          <w:b/>
          <w:i/>
        </w:rPr>
        <w:t>«</w:t>
      </w:r>
      <w:r w:rsidR="001B1857" w:rsidRPr="001B1857">
        <w:rPr>
          <w:b/>
          <w:i/>
          <w:szCs w:val="28"/>
        </w:rPr>
        <w:t xml:space="preserve">Срок предоставления документации: с «13» апреля 2016 г. по «28» </w:t>
      </w:r>
      <w:r w:rsidR="001B1857">
        <w:rPr>
          <w:b/>
          <w:i/>
          <w:szCs w:val="28"/>
        </w:rPr>
        <w:t>апреля 2016 </w:t>
      </w:r>
      <w:r w:rsidR="001B1857" w:rsidRPr="001B1857">
        <w:rPr>
          <w:b/>
          <w:i/>
          <w:szCs w:val="28"/>
        </w:rPr>
        <w:t>г.»</w:t>
      </w:r>
      <w:r>
        <w:t xml:space="preserve"> указать </w:t>
      </w:r>
      <w:r w:rsidR="001B1857" w:rsidRPr="001B1857">
        <w:rPr>
          <w:b/>
          <w:i/>
        </w:rPr>
        <w:t>«</w:t>
      </w:r>
      <w:r w:rsidR="001B1857" w:rsidRPr="001B1857">
        <w:rPr>
          <w:b/>
          <w:i/>
          <w:szCs w:val="28"/>
        </w:rPr>
        <w:t xml:space="preserve">Срок предоставления документации: с «13» </w:t>
      </w:r>
      <w:r w:rsidR="001B1857">
        <w:rPr>
          <w:b/>
          <w:i/>
          <w:szCs w:val="28"/>
        </w:rPr>
        <w:t>апреля 2016 </w:t>
      </w:r>
      <w:r w:rsidR="001B1857" w:rsidRPr="001B1857">
        <w:rPr>
          <w:b/>
          <w:i/>
          <w:szCs w:val="28"/>
        </w:rPr>
        <w:t>г. по «</w:t>
      </w:r>
      <w:r w:rsidR="001B1857">
        <w:rPr>
          <w:b/>
          <w:i/>
          <w:szCs w:val="28"/>
        </w:rPr>
        <w:t>04</w:t>
      </w:r>
      <w:r w:rsidR="001B1857" w:rsidRPr="001B1857">
        <w:rPr>
          <w:b/>
          <w:i/>
          <w:szCs w:val="28"/>
        </w:rPr>
        <w:t xml:space="preserve">» </w:t>
      </w:r>
      <w:r w:rsidR="001B1857">
        <w:rPr>
          <w:b/>
          <w:i/>
          <w:szCs w:val="28"/>
        </w:rPr>
        <w:t>мая</w:t>
      </w:r>
      <w:r w:rsidR="001B1857" w:rsidRPr="001B1857">
        <w:rPr>
          <w:b/>
          <w:i/>
          <w:szCs w:val="28"/>
        </w:rPr>
        <w:t xml:space="preserve"> 2016 г.»</w:t>
      </w:r>
      <w:r w:rsidRPr="001B1857">
        <w:rPr>
          <w:b/>
          <w:i/>
        </w:rPr>
        <w:t>.</w:t>
      </w:r>
    </w:p>
    <w:p w:rsidR="00F206F4" w:rsidRPr="001B1857" w:rsidRDefault="00F206F4" w:rsidP="001B1857">
      <w:pPr>
        <w:tabs>
          <w:tab w:val="clear" w:pos="709"/>
          <w:tab w:val="left" w:pos="567"/>
        </w:tabs>
        <w:jc w:val="both"/>
        <w:rPr>
          <w:b/>
          <w:i/>
        </w:rPr>
      </w:pPr>
      <w:r>
        <w:t xml:space="preserve">2. В Извещении вместо текста </w:t>
      </w:r>
      <w:r w:rsidR="001B1857" w:rsidRPr="001B1857">
        <w:rPr>
          <w:b/>
          <w:i/>
        </w:rPr>
        <w:t xml:space="preserve">«Дата и время окончания подачи заявок (по местному времени Организатора) (Срок акцепта): </w:t>
      </w:r>
      <w:r w:rsidR="001B1857" w:rsidRPr="001B1857">
        <w:rPr>
          <w:b/>
          <w:i/>
          <w:szCs w:val="28"/>
        </w:rPr>
        <w:t>«28» апреля 2016 г.</w:t>
      </w:r>
      <w:r w:rsidR="001B1857" w:rsidRPr="001B1857">
        <w:rPr>
          <w:b/>
          <w:i/>
        </w:rPr>
        <w:t xml:space="preserve"> 17 час. 00 мин.»</w:t>
      </w:r>
      <w:r w:rsidR="001B1857">
        <w:t xml:space="preserve"> </w:t>
      </w:r>
      <w:r>
        <w:t xml:space="preserve">указать </w:t>
      </w:r>
      <w:r w:rsidR="001B1857" w:rsidRPr="001B1857">
        <w:rPr>
          <w:b/>
          <w:i/>
        </w:rPr>
        <w:t xml:space="preserve">«Дата и время окончания подачи заявок (по местному времени Организатора) (Срок акцепта): </w:t>
      </w:r>
      <w:r w:rsidR="001B1857" w:rsidRPr="001B1857">
        <w:rPr>
          <w:b/>
          <w:i/>
          <w:szCs w:val="28"/>
        </w:rPr>
        <w:t>«</w:t>
      </w:r>
      <w:r w:rsidR="001B1857">
        <w:rPr>
          <w:b/>
          <w:i/>
          <w:szCs w:val="28"/>
        </w:rPr>
        <w:t>04</w:t>
      </w:r>
      <w:r w:rsidR="001B1857" w:rsidRPr="001B1857">
        <w:rPr>
          <w:b/>
          <w:i/>
          <w:szCs w:val="28"/>
        </w:rPr>
        <w:t xml:space="preserve">» </w:t>
      </w:r>
      <w:r w:rsidR="001B1857">
        <w:rPr>
          <w:b/>
          <w:i/>
          <w:szCs w:val="28"/>
        </w:rPr>
        <w:t>мая</w:t>
      </w:r>
      <w:r w:rsidR="001B1857" w:rsidRPr="001B1857">
        <w:rPr>
          <w:b/>
          <w:i/>
          <w:szCs w:val="28"/>
        </w:rPr>
        <w:t xml:space="preserve"> 2016 г.</w:t>
      </w:r>
      <w:r w:rsidR="001B1857" w:rsidRPr="001B1857">
        <w:rPr>
          <w:b/>
          <w:i/>
        </w:rPr>
        <w:t xml:space="preserve"> 17</w:t>
      </w:r>
      <w:r w:rsidR="001B1857">
        <w:rPr>
          <w:b/>
          <w:i/>
        </w:rPr>
        <w:t> </w:t>
      </w:r>
      <w:r w:rsidR="001B1857" w:rsidRPr="001B1857">
        <w:rPr>
          <w:b/>
          <w:i/>
        </w:rPr>
        <w:t>час. 00 мин.»</w:t>
      </w:r>
    </w:p>
    <w:p w:rsidR="00F206F4" w:rsidRPr="001B1857" w:rsidRDefault="00D71D4B" w:rsidP="001B1857">
      <w:pPr>
        <w:jc w:val="both"/>
        <w:rPr>
          <w:b/>
          <w:szCs w:val="28"/>
        </w:rPr>
      </w:pPr>
      <w:r>
        <w:t>3</w:t>
      </w:r>
      <w:r w:rsidR="00F206F4">
        <w:t xml:space="preserve">. В Извещении вместо текста </w:t>
      </w:r>
      <w:r w:rsidR="001B1857" w:rsidRPr="001B1857">
        <w:rPr>
          <w:b/>
          <w:i/>
        </w:rPr>
        <w:t>«</w:t>
      </w:r>
      <w:r w:rsidR="001B1857" w:rsidRPr="001B1857">
        <w:rPr>
          <w:b/>
          <w:i/>
          <w:szCs w:val="28"/>
        </w:rPr>
        <w:t>Рассмотрение и сопоставление Заявок «29» апреля 2016 г.</w:t>
      </w:r>
      <w:r w:rsidR="001B1857" w:rsidRPr="001B1857">
        <w:rPr>
          <w:b/>
          <w:i/>
        </w:rPr>
        <w:t xml:space="preserve"> 14 час. 00 мин.»</w:t>
      </w:r>
      <w:r w:rsidR="001B1857">
        <w:t xml:space="preserve"> </w:t>
      </w:r>
      <w:r w:rsidR="00F206F4">
        <w:t xml:space="preserve">указать </w:t>
      </w:r>
      <w:r w:rsidR="001B1857" w:rsidRPr="001B1857">
        <w:rPr>
          <w:b/>
          <w:i/>
        </w:rPr>
        <w:t>«</w:t>
      </w:r>
      <w:r w:rsidR="001B1857" w:rsidRPr="001B1857">
        <w:rPr>
          <w:b/>
          <w:i/>
          <w:szCs w:val="28"/>
        </w:rPr>
        <w:t>Рассмотрение и сопоставление Заявок «</w:t>
      </w:r>
      <w:r w:rsidR="001B1857">
        <w:rPr>
          <w:b/>
          <w:i/>
          <w:szCs w:val="28"/>
        </w:rPr>
        <w:t>05</w:t>
      </w:r>
      <w:r w:rsidR="001B1857" w:rsidRPr="001B1857">
        <w:rPr>
          <w:b/>
          <w:i/>
          <w:szCs w:val="28"/>
        </w:rPr>
        <w:t xml:space="preserve">» </w:t>
      </w:r>
      <w:r w:rsidR="001B1857">
        <w:rPr>
          <w:b/>
          <w:i/>
          <w:szCs w:val="28"/>
        </w:rPr>
        <w:t>мая</w:t>
      </w:r>
      <w:r w:rsidR="001B1857" w:rsidRPr="001B1857">
        <w:rPr>
          <w:b/>
          <w:i/>
          <w:szCs w:val="28"/>
        </w:rPr>
        <w:t xml:space="preserve"> 2016 г.</w:t>
      </w:r>
      <w:r w:rsidR="001B1857" w:rsidRPr="001B1857">
        <w:rPr>
          <w:b/>
          <w:i/>
        </w:rPr>
        <w:t xml:space="preserve"> 14 час. 00 мин.»</w:t>
      </w:r>
    </w:p>
    <w:p w:rsidR="001D62E2" w:rsidRDefault="00D71D4B" w:rsidP="00D71D4B">
      <w:pPr>
        <w:tabs>
          <w:tab w:val="clear" w:pos="709"/>
          <w:tab w:val="left" w:pos="567"/>
        </w:tabs>
        <w:jc w:val="both"/>
        <w:rPr>
          <w:szCs w:val="28"/>
        </w:rPr>
      </w:pPr>
      <w:r>
        <w:t>4</w:t>
      </w:r>
      <w:r w:rsidR="00F206F4">
        <w:t>.</w:t>
      </w:r>
      <w:r w:rsidR="00F206F4" w:rsidRPr="005947CE">
        <w:t xml:space="preserve"> </w:t>
      </w:r>
      <w:r w:rsidR="00F206F4">
        <w:t xml:space="preserve">В Извещении вместо текста </w:t>
      </w:r>
      <w:r w:rsidRPr="00D71D4B">
        <w:rPr>
          <w:b/>
          <w:i/>
        </w:rPr>
        <w:t>«Подведение итогов не позднее</w:t>
      </w:r>
      <w:r w:rsidRPr="00D71D4B">
        <w:rPr>
          <w:b/>
          <w:i/>
          <w:szCs w:val="28"/>
        </w:rPr>
        <w:t xml:space="preserve"> «06» мая 2016 г </w:t>
      </w:r>
      <w:r w:rsidRPr="00D71D4B">
        <w:rPr>
          <w:b/>
          <w:i/>
        </w:rPr>
        <w:t>10 час. 00 мин.»</w:t>
      </w:r>
      <w:r w:rsidR="00F206F4">
        <w:t xml:space="preserve"> указать </w:t>
      </w:r>
      <w:r w:rsidRPr="00D71D4B">
        <w:rPr>
          <w:b/>
          <w:i/>
        </w:rPr>
        <w:t>«Подведение итогов не позднее</w:t>
      </w:r>
      <w:r w:rsidRPr="00D71D4B">
        <w:rPr>
          <w:b/>
          <w:i/>
          <w:szCs w:val="28"/>
        </w:rPr>
        <w:t xml:space="preserve"> «</w:t>
      </w:r>
      <w:r>
        <w:rPr>
          <w:b/>
          <w:i/>
          <w:szCs w:val="28"/>
        </w:rPr>
        <w:t>12</w:t>
      </w:r>
      <w:r w:rsidRPr="00D71D4B">
        <w:rPr>
          <w:b/>
          <w:i/>
          <w:szCs w:val="28"/>
        </w:rPr>
        <w:t xml:space="preserve">» мая 2016 г </w:t>
      </w:r>
      <w:r w:rsidRPr="00D71D4B">
        <w:rPr>
          <w:b/>
          <w:i/>
        </w:rPr>
        <w:t>10 час. 00 мин.»</w:t>
      </w:r>
    </w:p>
    <w:p w:rsidR="005947CE" w:rsidRDefault="00D71D4B" w:rsidP="00FD47C4">
      <w:pPr>
        <w:jc w:val="both"/>
      </w:pPr>
      <w:r>
        <w:t>5</w:t>
      </w:r>
      <w:r w:rsidR="00944861">
        <w:t xml:space="preserve">. </w:t>
      </w:r>
      <w:r w:rsidR="00FD47C4" w:rsidRPr="00556172">
        <w:rPr>
          <w:b/>
        </w:rPr>
        <w:t>В п.4.3.5. раздела 4 «Техническое задание» документации о закупке</w:t>
      </w:r>
      <w:r w:rsidR="00FD47C4">
        <w:t xml:space="preserve"> вместо текста:</w:t>
      </w:r>
    </w:p>
    <w:p w:rsidR="00FD47C4" w:rsidRDefault="00FD47C4" w:rsidP="00FD47C4">
      <w:pPr>
        <w:jc w:val="both"/>
        <w:rPr>
          <w:color w:val="000000" w:themeColor="text1"/>
          <w:szCs w:val="28"/>
        </w:rPr>
      </w:pPr>
      <w:r>
        <w:t>«</w:t>
      </w:r>
      <w:r w:rsidRPr="005979B8">
        <w:rPr>
          <w:color w:val="000000" w:themeColor="text1"/>
          <w:szCs w:val="28"/>
        </w:rPr>
        <w:t xml:space="preserve">Экспедитор должен иметь прямые договоры с судоходными линиями или с их </w:t>
      </w:r>
      <w:proofErr w:type="gramStart"/>
      <w:r w:rsidRPr="005979B8">
        <w:rPr>
          <w:color w:val="000000" w:themeColor="text1"/>
          <w:szCs w:val="28"/>
        </w:rPr>
        <w:t>представительствами</w:t>
      </w:r>
      <w:proofErr w:type="gramEnd"/>
      <w:r w:rsidRPr="005979B8">
        <w:rPr>
          <w:color w:val="000000" w:themeColor="text1"/>
          <w:szCs w:val="28"/>
        </w:rPr>
        <w:t xml:space="preserve"> в России осуществляющими сервисные заходы на ММПК </w:t>
      </w:r>
      <w:r w:rsidRPr="005979B8">
        <w:rPr>
          <w:szCs w:val="28"/>
        </w:rPr>
        <w:t>«</w:t>
      </w:r>
      <w:proofErr w:type="spellStart"/>
      <w:r w:rsidRPr="005979B8">
        <w:rPr>
          <w:szCs w:val="28"/>
        </w:rPr>
        <w:t>Бронка</w:t>
      </w:r>
      <w:proofErr w:type="spellEnd"/>
      <w:r w:rsidRPr="005979B8">
        <w:rPr>
          <w:szCs w:val="28"/>
        </w:rPr>
        <w:t>» (Большой порт Санкт-Петербург).</w:t>
      </w:r>
      <w:r w:rsidRPr="005979B8">
        <w:rPr>
          <w:color w:val="000000" w:themeColor="text1"/>
          <w:szCs w:val="28"/>
        </w:rPr>
        <w:t xml:space="preserve"> На момент конкурсной процедуры договоры в обязательном порядке</w:t>
      </w:r>
      <w:r w:rsidRPr="0035336A">
        <w:rPr>
          <w:color w:val="000000" w:themeColor="text1"/>
          <w:szCs w:val="28"/>
        </w:rPr>
        <w:t xml:space="preserve"> </w:t>
      </w:r>
      <w:proofErr w:type="gramStart"/>
      <w:r w:rsidRPr="005979B8">
        <w:rPr>
          <w:color w:val="000000" w:themeColor="text1"/>
          <w:szCs w:val="28"/>
        </w:rPr>
        <w:t>с</w:t>
      </w:r>
      <w:proofErr w:type="gramEnd"/>
      <w:r>
        <w:rPr>
          <w:color w:val="000000" w:themeColor="text1"/>
          <w:szCs w:val="28"/>
        </w:rPr>
        <w:t>:</w:t>
      </w:r>
    </w:p>
    <w:p w:rsidR="00FD47C4" w:rsidRPr="00FF62C2" w:rsidRDefault="00FD47C4" w:rsidP="00FD47C4">
      <w:pPr>
        <w:jc w:val="both"/>
        <w:rPr>
          <w:color w:val="000000" w:themeColor="text1"/>
          <w:szCs w:val="28"/>
        </w:rPr>
      </w:pPr>
      <w:r w:rsidRPr="00FF62C2">
        <w:rPr>
          <w:color w:val="000000" w:themeColor="text1"/>
          <w:szCs w:val="28"/>
        </w:rPr>
        <w:lastRenderedPageBreak/>
        <w:t xml:space="preserve">- </w:t>
      </w:r>
      <w:r w:rsidRPr="005979B8">
        <w:rPr>
          <w:color w:val="000000" w:themeColor="text1"/>
          <w:szCs w:val="28"/>
          <w:lang w:val="en-US"/>
        </w:rPr>
        <w:t>Finn</w:t>
      </w:r>
      <w:r w:rsidRPr="00FF62C2">
        <w:rPr>
          <w:color w:val="000000" w:themeColor="text1"/>
          <w:szCs w:val="28"/>
        </w:rPr>
        <w:t xml:space="preserve"> </w:t>
      </w:r>
      <w:r w:rsidRPr="005979B8">
        <w:rPr>
          <w:color w:val="000000" w:themeColor="text1"/>
          <w:szCs w:val="28"/>
          <w:lang w:val="en-US"/>
        </w:rPr>
        <w:t>Lines</w:t>
      </w:r>
      <w:r w:rsidRPr="00FF62C2">
        <w:rPr>
          <w:color w:val="000000" w:themeColor="text1"/>
          <w:szCs w:val="28"/>
        </w:rPr>
        <w:t xml:space="preserve">, </w:t>
      </w:r>
    </w:p>
    <w:p w:rsidR="00FD47C4" w:rsidRPr="00FF62C2" w:rsidRDefault="00FD47C4" w:rsidP="00FD47C4">
      <w:pPr>
        <w:jc w:val="both"/>
        <w:rPr>
          <w:color w:val="000000" w:themeColor="text1"/>
          <w:szCs w:val="28"/>
        </w:rPr>
      </w:pPr>
      <w:r w:rsidRPr="00FF62C2">
        <w:rPr>
          <w:color w:val="000000" w:themeColor="text1"/>
          <w:szCs w:val="28"/>
        </w:rPr>
        <w:t xml:space="preserve">- </w:t>
      </w:r>
      <w:proofErr w:type="spellStart"/>
      <w:r w:rsidRPr="005979B8">
        <w:rPr>
          <w:color w:val="000000" w:themeColor="text1"/>
          <w:szCs w:val="28"/>
          <w:lang w:val="en-US"/>
        </w:rPr>
        <w:t>Transfennica</w:t>
      </w:r>
      <w:proofErr w:type="spellEnd"/>
      <w:r w:rsidRPr="00FF62C2">
        <w:rPr>
          <w:color w:val="000000" w:themeColor="text1"/>
          <w:szCs w:val="28"/>
        </w:rPr>
        <w:t>;</w:t>
      </w:r>
    </w:p>
    <w:p w:rsidR="00FD47C4" w:rsidRDefault="00FD47C4" w:rsidP="00FD47C4">
      <w:pPr>
        <w:jc w:val="both"/>
        <w:rPr>
          <w:color w:val="000000" w:themeColor="text1"/>
          <w:szCs w:val="28"/>
        </w:rPr>
      </w:pPr>
      <w:r w:rsidRPr="00FF62C2">
        <w:rPr>
          <w:color w:val="000000" w:themeColor="text1"/>
          <w:szCs w:val="28"/>
        </w:rPr>
        <w:t xml:space="preserve">- </w:t>
      </w:r>
      <w:r w:rsidRPr="005979B8">
        <w:rPr>
          <w:color w:val="000000" w:themeColor="text1"/>
          <w:szCs w:val="28"/>
          <w:lang w:val="en-US"/>
        </w:rPr>
        <w:t>CMA</w:t>
      </w:r>
      <w:r w:rsidRPr="00FF62C2">
        <w:rPr>
          <w:color w:val="000000" w:themeColor="text1"/>
          <w:szCs w:val="28"/>
        </w:rPr>
        <w:t>-</w:t>
      </w:r>
      <w:r w:rsidRPr="005979B8">
        <w:rPr>
          <w:color w:val="000000" w:themeColor="text1"/>
          <w:szCs w:val="28"/>
          <w:lang w:val="en-US"/>
        </w:rPr>
        <w:t>CGM</w:t>
      </w:r>
      <w:r w:rsidRPr="00FF62C2">
        <w:rPr>
          <w:color w:val="000000" w:themeColor="text1"/>
          <w:szCs w:val="28"/>
        </w:rPr>
        <w:t>.</w:t>
      </w:r>
      <w:r>
        <w:rPr>
          <w:color w:val="000000" w:themeColor="text1"/>
          <w:szCs w:val="28"/>
        </w:rPr>
        <w:t>»</w:t>
      </w:r>
    </w:p>
    <w:p w:rsidR="00FD47C4" w:rsidRDefault="00FD47C4" w:rsidP="00FD47C4">
      <w:pPr>
        <w:jc w:val="both"/>
        <w:rPr>
          <w:b/>
          <w:color w:val="000000" w:themeColor="text1"/>
          <w:szCs w:val="28"/>
        </w:rPr>
      </w:pPr>
      <w:r w:rsidRPr="00FD47C4">
        <w:rPr>
          <w:b/>
          <w:color w:val="000000" w:themeColor="text1"/>
          <w:szCs w:val="28"/>
        </w:rPr>
        <w:t>указать:</w:t>
      </w:r>
    </w:p>
    <w:p w:rsidR="00FD47C4" w:rsidRDefault="00FD47C4" w:rsidP="00FD47C4">
      <w:pPr>
        <w:jc w:val="both"/>
        <w:rPr>
          <w:color w:val="000000" w:themeColor="text1"/>
          <w:szCs w:val="28"/>
        </w:rPr>
      </w:pPr>
      <w:r>
        <w:t>«</w:t>
      </w:r>
      <w:r w:rsidRPr="005979B8">
        <w:rPr>
          <w:color w:val="000000" w:themeColor="text1"/>
          <w:szCs w:val="28"/>
        </w:rPr>
        <w:t xml:space="preserve">Экспедитор должен иметь прямые договоры с судоходными линиями или с их </w:t>
      </w:r>
      <w:proofErr w:type="gramStart"/>
      <w:r w:rsidRPr="005979B8">
        <w:rPr>
          <w:color w:val="000000" w:themeColor="text1"/>
          <w:szCs w:val="28"/>
        </w:rPr>
        <w:t>представительствами</w:t>
      </w:r>
      <w:proofErr w:type="gramEnd"/>
      <w:r w:rsidRPr="005979B8">
        <w:rPr>
          <w:color w:val="000000" w:themeColor="text1"/>
          <w:szCs w:val="28"/>
        </w:rPr>
        <w:t xml:space="preserve"> в России осуществляющими сервисные заходы на ММПК </w:t>
      </w:r>
      <w:r w:rsidRPr="005979B8">
        <w:rPr>
          <w:szCs w:val="28"/>
        </w:rPr>
        <w:t>«</w:t>
      </w:r>
      <w:proofErr w:type="spellStart"/>
      <w:r w:rsidRPr="005979B8">
        <w:rPr>
          <w:szCs w:val="28"/>
        </w:rPr>
        <w:t>Бронка</w:t>
      </w:r>
      <w:proofErr w:type="spellEnd"/>
      <w:r w:rsidRPr="005979B8">
        <w:rPr>
          <w:szCs w:val="28"/>
        </w:rPr>
        <w:t>» (Большой порт Санкт-Петербург).</w:t>
      </w:r>
      <w:r w:rsidRPr="005979B8">
        <w:rPr>
          <w:color w:val="000000" w:themeColor="text1"/>
          <w:szCs w:val="28"/>
        </w:rPr>
        <w:t xml:space="preserve"> На момент конкурсной процедуры договоры в обязательном порядке</w:t>
      </w:r>
      <w:r w:rsidRPr="0035336A">
        <w:rPr>
          <w:color w:val="000000" w:themeColor="text1"/>
          <w:szCs w:val="28"/>
        </w:rPr>
        <w:t xml:space="preserve"> </w:t>
      </w:r>
      <w:proofErr w:type="gramStart"/>
      <w:r w:rsidRPr="005979B8">
        <w:rPr>
          <w:color w:val="000000" w:themeColor="text1"/>
          <w:szCs w:val="28"/>
        </w:rPr>
        <w:t>с</w:t>
      </w:r>
      <w:proofErr w:type="gramEnd"/>
      <w:r>
        <w:rPr>
          <w:color w:val="000000" w:themeColor="text1"/>
          <w:szCs w:val="28"/>
        </w:rPr>
        <w:t>:</w:t>
      </w:r>
    </w:p>
    <w:p w:rsidR="00FD47C4" w:rsidRDefault="00FD47C4" w:rsidP="00FD47C4">
      <w:pPr>
        <w:jc w:val="both"/>
        <w:rPr>
          <w:color w:val="000000" w:themeColor="text1"/>
          <w:szCs w:val="28"/>
        </w:rPr>
      </w:pPr>
      <w:r w:rsidRPr="00FF62C2">
        <w:rPr>
          <w:color w:val="000000" w:themeColor="text1"/>
          <w:szCs w:val="28"/>
        </w:rPr>
        <w:t xml:space="preserve">- </w:t>
      </w:r>
      <w:r w:rsidRPr="005979B8">
        <w:rPr>
          <w:color w:val="000000" w:themeColor="text1"/>
          <w:szCs w:val="28"/>
          <w:lang w:val="en-US"/>
        </w:rPr>
        <w:t>CMA</w:t>
      </w:r>
      <w:r w:rsidRPr="00FF62C2">
        <w:rPr>
          <w:color w:val="000000" w:themeColor="text1"/>
          <w:szCs w:val="28"/>
        </w:rPr>
        <w:t>-</w:t>
      </w:r>
      <w:r w:rsidRPr="005979B8">
        <w:rPr>
          <w:color w:val="000000" w:themeColor="text1"/>
          <w:szCs w:val="28"/>
          <w:lang w:val="en-US"/>
        </w:rPr>
        <w:t>CGM</w:t>
      </w:r>
      <w:r w:rsidRPr="00FF62C2">
        <w:rPr>
          <w:color w:val="000000" w:themeColor="text1"/>
          <w:szCs w:val="28"/>
        </w:rPr>
        <w:t>.</w:t>
      </w:r>
      <w:r>
        <w:rPr>
          <w:color w:val="000000" w:themeColor="text1"/>
          <w:szCs w:val="28"/>
        </w:rPr>
        <w:t>»</w:t>
      </w:r>
    </w:p>
    <w:p w:rsidR="00FD47C4" w:rsidRDefault="00D71D4B" w:rsidP="00FD47C4">
      <w:pPr>
        <w:jc w:val="both"/>
        <w:rPr>
          <w:color w:val="000000" w:themeColor="text1"/>
          <w:szCs w:val="28"/>
        </w:rPr>
      </w:pPr>
      <w:r>
        <w:rPr>
          <w:color w:val="000000" w:themeColor="text1"/>
          <w:szCs w:val="28"/>
        </w:rPr>
        <w:t>6</w:t>
      </w:r>
      <w:r w:rsidR="00FD47C4">
        <w:rPr>
          <w:color w:val="000000" w:themeColor="text1"/>
          <w:szCs w:val="28"/>
        </w:rPr>
        <w:t xml:space="preserve">. </w:t>
      </w:r>
      <w:r w:rsidR="00556172" w:rsidRPr="00556172">
        <w:rPr>
          <w:b/>
          <w:color w:val="000000" w:themeColor="text1"/>
          <w:szCs w:val="28"/>
        </w:rPr>
        <w:t>В п.п. 1.9. п.17 раздела 5 «Информационная карта»</w:t>
      </w:r>
      <w:r w:rsidR="00556172">
        <w:rPr>
          <w:color w:val="000000" w:themeColor="text1"/>
          <w:szCs w:val="28"/>
        </w:rPr>
        <w:t xml:space="preserve"> вместо текста:</w:t>
      </w:r>
    </w:p>
    <w:p w:rsidR="00556172" w:rsidRDefault="00556172" w:rsidP="00FD47C4">
      <w:pPr>
        <w:jc w:val="both"/>
        <w:rPr>
          <w:color w:val="000000" w:themeColor="text1"/>
        </w:rPr>
      </w:pPr>
      <w:r>
        <w:rPr>
          <w:color w:val="000000" w:themeColor="text1"/>
          <w:szCs w:val="28"/>
        </w:rPr>
        <w:t>«</w:t>
      </w:r>
      <w:r w:rsidRPr="00437BEF">
        <w:t xml:space="preserve">наличие у претендента </w:t>
      </w:r>
      <w:r w:rsidRPr="00437BEF">
        <w:rPr>
          <w:color w:val="000000" w:themeColor="text1"/>
        </w:rPr>
        <w:t>прямых договоров с судоходными линиями или с их представительствами в России</w:t>
      </w:r>
      <w:r>
        <w:rPr>
          <w:color w:val="000000" w:themeColor="text1"/>
        </w:rPr>
        <w:t xml:space="preserve">, </w:t>
      </w:r>
      <w:r w:rsidRPr="00CC5B5F">
        <w:rPr>
          <w:color w:val="000000" w:themeColor="text1"/>
        </w:rPr>
        <w:t xml:space="preserve">осуществляющими сервисные заходы на ММПК </w:t>
      </w:r>
      <w:r w:rsidRPr="00CC5B5F">
        <w:t>«</w:t>
      </w:r>
      <w:proofErr w:type="spellStart"/>
      <w:r w:rsidRPr="00CC5B5F">
        <w:t>Бронка</w:t>
      </w:r>
      <w:proofErr w:type="spellEnd"/>
      <w:r w:rsidRPr="00CC5B5F">
        <w:t>» (Большой порт Санкт-Петербург)</w:t>
      </w:r>
      <w:r w:rsidRPr="00CC5B5F">
        <w:rPr>
          <w:color w:val="000000" w:themeColor="text1"/>
        </w:rPr>
        <w:t>:</w:t>
      </w:r>
      <w:r>
        <w:rPr>
          <w:color w:val="000000" w:themeColor="text1"/>
        </w:rPr>
        <w:t xml:space="preserve"> </w:t>
      </w:r>
      <w:r w:rsidRPr="00CC5B5F">
        <w:rPr>
          <w:color w:val="000000" w:themeColor="text1"/>
          <w:lang w:val="en-US"/>
        </w:rPr>
        <w:t>Finn</w:t>
      </w:r>
      <w:r w:rsidRPr="00CC5B5F">
        <w:rPr>
          <w:color w:val="000000" w:themeColor="text1"/>
        </w:rPr>
        <w:t xml:space="preserve"> </w:t>
      </w:r>
      <w:r w:rsidRPr="00CC5B5F">
        <w:rPr>
          <w:color w:val="000000" w:themeColor="text1"/>
          <w:lang w:val="en-US"/>
        </w:rPr>
        <w:t>Lines</w:t>
      </w:r>
      <w:r w:rsidRPr="00CC5B5F">
        <w:rPr>
          <w:color w:val="000000" w:themeColor="text1"/>
        </w:rPr>
        <w:t>,</w:t>
      </w:r>
      <w:r>
        <w:rPr>
          <w:color w:val="000000" w:themeColor="text1"/>
        </w:rPr>
        <w:t xml:space="preserve"> </w:t>
      </w:r>
      <w:proofErr w:type="spellStart"/>
      <w:r w:rsidRPr="00CC5B5F">
        <w:rPr>
          <w:color w:val="000000" w:themeColor="text1"/>
          <w:lang w:val="en-US"/>
        </w:rPr>
        <w:t>Transfennica</w:t>
      </w:r>
      <w:proofErr w:type="spellEnd"/>
      <w:r>
        <w:rPr>
          <w:color w:val="000000" w:themeColor="text1"/>
        </w:rPr>
        <w:t xml:space="preserve">, </w:t>
      </w:r>
      <w:r w:rsidRPr="00CC5B5F">
        <w:rPr>
          <w:color w:val="000000" w:themeColor="text1"/>
          <w:lang w:val="en-US"/>
        </w:rPr>
        <w:t>CMA</w:t>
      </w:r>
      <w:r w:rsidRPr="00CC5B5F">
        <w:rPr>
          <w:color w:val="000000" w:themeColor="text1"/>
        </w:rPr>
        <w:t>-</w:t>
      </w:r>
      <w:r w:rsidRPr="00CC5B5F">
        <w:rPr>
          <w:color w:val="000000" w:themeColor="text1"/>
          <w:lang w:val="en-US"/>
        </w:rPr>
        <w:t>CGM</w:t>
      </w:r>
      <w:proofErr w:type="gramStart"/>
      <w:r w:rsidRPr="00CC5B5F">
        <w:rPr>
          <w:color w:val="000000" w:themeColor="text1"/>
        </w:rPr>
        <w:t>.</w:t>
      </w:r>
      <w:r>
        <w:rPr>
          <w:color w:val="000000" w:themeColor="text1"/>
        </w:rPr>
        <w:t>»</w:t>
      </w:r>
      <w:proofErr w:type="gramEnd"/>
    </w:p>
    <w:p w:rsidR="00556172" w:rsidRDefault="00556172" w:rsidP="00FD47C4">
      <w:pPr>
        <w:jc w:val="both"/>
        <w:rPr>
          <w:b/>
          <w:color w:val="000000" w:themeColor="text1"/>
        </w:rPr>
      </w:pPr>
      <w:r w:rsidRPr="00556172">
        <w:rPr>
          <w:b/>
          <w:color w:val="000000" w:themeColor="text1"/>
        </w:rPr>
        <w:t>указать</w:t>
      </w:r>
      <w:r>
        <w:rPr>
          <w:b/>
          <w:color w:val="000000" w:themeColor="text1"/>
        </w:rPr>
        <w:t>:</w:t>
      </w:r>
    </w:p>
    <w:p w:rsidR="00556172" w:rsidRPr="00556172" w:rsidRDefault="00556172" w:rsidP="00FD47C4">
      <w:pPr>
        <w:jc w:val="both"/>
        <w:rPr>
          <w:b/>
        </w:rPr>
      </w:pPr>
      <w:r>
        <w:rPr>
          <w:color w:val="000000" w:themeColor="text1"/>
          <w:szCs w:val="28"/>
        </w:rPr>
        <w:t>«</w:t>
      </w:r>
      <w:r w:rsidRPr="00437BEF">
        <w:t xml:space="preserve">наличие у претендента </w:t>
      </w:r>
      <w:r w:rsidRPr="00437BEF">
        <w:rPr>
          <w:color w:val="000000" w:themeColor="text1"/>
        </w:rPr>
        <w:t>прямых договоров с судоходными линиями или с их представительствами в России</w:t>
      </w:r>
      <w:r>
        <w:rPr>
          <w:color w:val="000000" w:themeColor="text1"/>
        </w:rPr>
        <w:t xml:space="preserve">, </w:t>
      </w:r>
      <w:r w:rsidRPr="00CC5B5F">
        <w:rPr>
          <w:color w:val="000000" w:themeColor="text1"/>
        </w:rPr>
        <w:t xml:space="preserve">осуществляющими сервисные заходы на ММПК </w:t>
      </w:r>
      <w:r w:rsidRPr="00CC5B5F">
        <w:t>«</w:t>
      </w:r>
      <w:proofErr w:type="spellStart"/>
      <w:r w:rsidRPr="00CC5B5F">
        <w:t>Бронка</w:t>
      </w:r>
      <w:proofErr w:type="spellEnd"/>
      <w:r w:rsidRPr="00CC5B5F">
        <w:t>» (Большой порт Санкт-Петербург)</w:t>
      </w:r>
      <w:r w:rsidRPr="00CC5B5F">
        <w:rPr>
          <w:color w:val="000000" w:themeColor="text1"/>
        </w:rPr>
        <w:t>:</w:t>
      </w:r>
      <w:r>
        <w:rPr>
          <w:color w:val="000000" w:themeColor="text1"/>
        </w:rPr>
        <w:t xml:space="preserve"> </w:t>
      </w:r>
      <w:r w:rsidRPr="00CC5B5F">
        <w:rPr>
          <w:color w:val="000000" w:themeColor="text1"/>
          <w:lang w:val="en-US"/>
        </w:rPr>
        <w:t>CMA</w:t>
      </w:r>
      <w:r w:rsidRPr="00CC5B5F">
        <w:rPr>
          <w:color w:val="000000" w:themeColor="text1"/>
        </w:rPr>
        <w:t>-</w:t>
      </w:r>
      <w:r w:rsidRPr="00CC5B5F">
        <w:rPr>
          <w:color w:val="000000" w:themeColor="text1"/>
          <w:lang w:val="en-US"/>
        </w:rPr>
        <w:t>CGM</w:t>
      </w:r>
      <w:proofErr w:type="gramStart"/>
      <w:r w:rsidRPr="00CC5B5F">
        <w:rPr>
          <w:color w:val="000000" w:themeColor="text1"/>
        </w:rPr>
        <w:t>.</w:t>
      </w:r>
      <w:r>
        <w:rPr>
          <w:color w:val="000000" w:themeColor="text1"/>
        </w:rPr>
        <w:t>»</w:t>
      </w:r>
      <w:proofErr w:type="gramEnd"/>
    </w:p>
    <w:p w:rsidR="00FD47C4" w:rsidRDefault="00D71D4B" w:rsidP="00FD47C4">
      <w:pPr>
        <w:jc w:val="both"/>
        <w:rPr>
          <w:color w:val="000000" w:themeColor="text1"/>
          <w:szCs w:val="28"/>
        </w:rPr>
      </w:pPr>
      <w:r>
        <w:t>7</w:t>
      </w:r>
      <w:r w:rsidR="00556172">
        <w:t xml:space="preserve">. </w:t>
      </w:r>
      <w:r w:rsidR="00556172" w:rsidRPr="00556172">
        <w:rPr>
          <w:b/>
        </w:rPr>
        <w:t>В п.п.2.10. п.17 раздела 5 «Информационная карта</w:t>
      </w:r>
      <w:r w:rsidR="00556172">
        <w:rPr>
          <w:color w:val="000000" w:themeColor="text1"/>
          <w:szCs w:val="28"/>
        </w:rPr>
        <w:t>»</w:t>
      </w:r>
      <w:r w:rsidR="00556172" w:rsidRPr="00556172">
        <w:rPr>
          <w:color w:val="000000" w:themeColor="text1"/>
          <w:szCs w:val="28"/>
        </w:rPr>
        <w:t xml:space="preserve"> </w:t>
      </w:r>
      <w:r w:rsidR="00556172">
        <w:rPr>
          <w:color w:val="000000" w:themeColor="text1"/>
          <w:szCs w:val="28"/>
        </w:rPr>
        <w:t>вместо текста:</w:t>
      </w:r>
    </w:p>
    <w:p w:rsidR="00556172" w:rsidRDefault="00556172" w:rsidP="00FD47C4">
      <w:pPr>
        <w:jc w:val="both"/>
        <w:rPr>
          <w:color w:val="000000" w:themeColor="text1"/>
          <w:szCs w:val="28"/>
        </w:rPr>
      </w:pPr>
      <w:r>
        <w:rPr>
          <w:color w:val="000000" w:themeColor="text1"/>
        </w:rPr>
        <w:t>«</w:t>
      </w:r>
      <w:r w:rsidRPr="00A85CAE">
        <w:rPr>
          <w:color w:val="000000" w:themeColor="text1"/>
        </w:rPr>
        <w:t>копии договоров с судоходными линиями или с их представительствами в России, осуществляющими</w:t>
      </w:r>
      <w:r w:rsidRPr="00CC5B5F">
        <w:rPr>
          <w:color w:val="000000" w:themeColor="text1"/>
        </w:rPr>
        <w:t xml:space="preserve"> сервисные заходы на ММПК </w:t>
      </w:r>
      <w:r w:rsidRPr="00CC5B5F">
        <w:t>«</w:t>
      </w:r>
      <w:proofErr w:type="spellStart"/>
      <w:r w:rsidRPr="00CC5B5F">
        <w:t>Бронка</w:t>
      </w:r>
      <w:proofErr w:type="spellEnd"/>
      <w:r w:rsidRPr="00CC5B5F">
        <w:t>» (Большой порт Санкт-Петербург)</w:t>
      </w:r>
      <w:r w:rsidRPr="00CC5B5F">
        <w:rPr>
          <w:color w:val="000000" w:themeColor="text1"/>
        </w:rPr>
        <w:t>:</w:t>
      </w:r>
      <w:r>
        <w:rPr>
          <w:color w:val="000000" w:themeColor="text1"/>
        </w:rPr>
        <w:t xml:space="preserve"> </w:t>
      </w:r>
      <w:r w:rsidRPr="00CC5B5F">
        <w:rPr>
          <w:color w:val="000000" w:themeColor="text1"/>
          <w:lang w:val="en-US"/>
        </w:rPr>
        <w:t>Finn</w:t>
      </w:r>
      <w:r w:rsidRPr="00CC5B5F">
        <w:rPr>
          <w:color w:val="000000" w:themeColor="text1"/>
        </w:rPr>
        <w:t xml:space="preserve"> </w:t>
      </w:r>
      <w:r w:rsidRPr="00CC5B5F">
        <w:rPr>
          <w:color w:val="000000" w:themeColor="text1"/>
          <w:lang w:val="en-US"/>
        </w:rPr>
        <w:t>Lines</w:t>
      </w:r>
      <w:r w:rsidRPr="00CC5B5F">
        <w:rPr>
          <w:color w:val="000000" w:themeColor="text1"/>
        </w:rPr>
        <w:t>,</w:t>
      </w:r>
      <w:r>
        <w:rPr>
          <w:color w:val="000000" w:themeColor="text1"/>
        </w:rPr>
        <w:t xml:space="preserve"> </w:t>
      </w:r>
      <w:proofErr w:type="spellStart"/>
      <w:r w:rsidRPr="00CC5B5F">
        <w:rPr>
          <w:color w:val="000000" w:themeColor="text1"/>
          <w:lang w:val="en-US"/>
        </w:rPr>
        <w:t>Transfennica</w:t>
      </w:r>
      <w:proofErr w:type="spellEnd"/>
      <w:r>
        <w:rPr>
          <w:color w:val="000000" w:themeColor="text1"/>
        </w:rPr>
        <w:t xml:space="preserve">, </w:t>
      </w:r>
      <w:r w:rsidRPr="00CC5B5F">
        <w:rPr>
          <w:color w:val="000000" w:themeColor="text1"/>
          <w:lang w:val="en-US"/>
        </w:rPr>
        <w:t>CMA</w:t>
      </w:r>
      <w:r w:rsidRPr="00CC5B5F">
        <w:rPr>
          <w:color w:val="000000" w:themeColor="text1"/>
        </w:rPr>
        <w:t>-</w:t>
      </w:r>
      <w:r w:rsidRPr="00CC5B5F">
        <w:rPr>
          <w:color w:val="000000" w:themeColor="text1"/>
          <w:lang w:val="en-US"/>
        </w:rPr>
        <w:t>CGM</w:t>
      </w:r>
      <w:proofErr w:type="gramStart"/>
      <w:r w:rsidRPr="00CC5B5F">
        <w:rPr>
          <w:color w:val="000000" w:themeColor="text1"/>
        </w:rPr>
        <w:t>.</w:t>
      </w:r>
      <w:r>
        <w:rPr>
          <w:color w:val="000000" w:themeColor="text1"/>
        </w:rPr>
        <w:t>»</w:t>
      </w:r>
      <w:proofErr w:type="gramEnd"/>
    </w:p>
    <w:p w:rsidR="00556172" w:rsidRDefault="00556172" w:rsidP="00FD47C4">
      <w:pPr>
        <w:jc w:val="both"/>
        <w:rPr>
          <w:b/>
          <w:color w:val="000000" w:themeColor="text1"/>
          <w:szCs w:val="28"/>
        </w:rPr>
      </w:pPr>
      <w:r w:rsidRPr="00556172">
        <w:rPr>
          <w:b/>
          <w:color w:val="000000" w:themeColor="text1"/>
          <w:szCs w:val="28"/>
        </w:rPr>
        <w:t>указать:</w:t>
      </w:r>
    </w:p>
    <w:p w:rsidR="00556172" w:rsidRDefault="00556172" w:rsidP="00FD47C4">
      <w:pPr>
        <w:jc w:val="both"/>
        <w:rPr>
          <w:color w:val="000000" w:themeColor="text1"/>
        </w:rPr>
      </w:pPr>
      <w:r>
        <w:rPr>
          <w:color w:val="000000" w:themeColor="text1"/>
        </w:rPr>
        <w:t>«</w:t>
      </w:r>
      <w:r w:rsidRPr="00A85CAE">
        <w:rPr>
          <w:color w:val="000000" w:themeColor="text1"/>
        </w:rPr>
        <w:t>копии договоров с судоходными линиями или с их представительствами в России, осуществляющими</w:t>
      </w:r>
      <w:r w:rsidRPr="00CC5B5F">
        <w:rPr>
          <w:color w:val="000000" w:themeColor="text1"/>
        </w:rPr>
        <w:t xml:space="preserve"> сервисные заходы на ММПК </w:t>
      </w:r>
      <w:r w:rsidRPr="00CC5B5F">
        <w:t>«</w:t>
      </w:r>
      <w:proofErr w:type="spellStart"/>
      <w:r w:rsidRPr="00CC5B5F">
        <w:t>Бронка</w:t>
      </w:r>
      <w:proofErr w:type="spellEnd"/>
      <w:r w:rsidRPr="00CC5B5F">
        <w:t>» (Большой порт Санкт-Петербург)</w:t>
      </w:r>
      <w:r w:rsidRPr="00CC5B5F">
        <w:rPr>
          <w:color w:val="000000" w:themeColor="text1"/>
        </w:rPr>
        <w:t>:</w:t>
      </w:r>
      <w:r>
        <w:rPr>
          <w:color w:val="000000" w:themeColor="text1"/>
        </w:rPr>
        <w:t xml:space="preserve"> </w:t>
      </w:r>
      <w:r w:rsidRPr="00CC5B5F">
        <w:rPr>
          <w:color w:val="000000" w:themeColor="text1"/>
          <w:lang w:val="en-US"/>
        </w:rPr>
        <w:t>CMA</w:t>
      </w:r>
      <w:r w:rsidRPr="00CC5B5F">
        <w:rPr>
          <w:color w:val="000000" w:themeColor="text1"/>
        </w:rPr>
        <w:t>-</w:t>
      </w:r>
      <w:r w:rsidRPr="00CC5B5F">
        <w:rPr>
          <w:color w:val="000000" w:themeColor="text1"/>
          <w:lang w:val="en-US"/>
        </w:rPr>
        <w:t>CGM</w:t>
      </w:r>
      <w:proofErr w:type="gramStart"/>
      <w:r w:rsidRPr="00CC5B5F">
        <w:rPr>
          <w:color w:val="000000" w:themeColor="text1"/>
        </w:rPr>
        <w:t>.</w:t>
      </w:r>
      <w:r>
        <w:rPr>
          <w:color w:val="000000" w:themeColor="text1"/>
        </w:rPr>
        <w:t>»</w:t>
      </w:r>
      <w:proofErr w:type="gramEnd"/>
    </w:p>
    <w:p w:rsidR="00DE38B5" w:rsidRPr="00DE38B5" w:rsidRDefault="00D71D4B" w:rsidP="00FD47C4">
      <w:pPr>
        <w:jc w:val="both"/>
        <w:rPr>
          <w:color w:val="000000" w:themeColor="text1"/>
          <w:szCs w:val="28"/>
        </w:rPr>
      </w:pPr>
      <w:r>
        <w:rPr>
          <w:color w:val="000000" w:themeColor="text1"/>
        </w:rPr>
        <w:t>8</w:t>
      </w:r>
      <w:r w:rsidR="00DE38B5">
        <w:rPr>
          <w:color w:val="000000" w:themeColor="text1"/>
        </w:rPr>
        <w:t xml:space="preserve">. </w:t>
      </w:r>
      <w:r w:rsidR="00DE38B5" w:rsidRPr="00DE38B5">
        <w:rPr>
          <w:b/>
          <w:color w:val="000000" w:themeColor="text1"/>
        </w:rPr>
        <w:t>В п.п.4.5.1 п.4.5. раздела 4 «Техническое задание»</w:t>
      </w:r>
      <w:r w:rsidR="00DE38B5">
        <w:rPr>
          <w:b/>
          <w:color w:val="000000" w:themeColor="text1"/>
        </w:rPr>
        <w:t xml:space="preserve"> документации о закупке</w:t>
      </w:r>
      <w:r w:rsidR="00DE38B5">
        <w:rPr>
          <w:color w:val="000000" w:themeColor="text1"/>
        </w:rPr>
        <w:t xml:space="preserve"> в таблице «</w:t>
      </w:r>
      <w:r w:rsidR="00DE38B5" w:rsidRPr="008F2187">
        <w:rPr>
          <w:color w:val="000000" w:themeColor="text1"/>
          <w:szCs w:val="28"/>
        </w:rPr>
        <w:t>Дополнительные услуги, оказываемые при Экспорте</w:t>
      </w:r>
      <w:r w:rsidR="00DE38B5">
        <w:rPr>
          <w:color w:val="000000" w:themeColor="text1"/>
          <w:szCs w:val="28"/>
        </w:rPr>
        <w:t>» в строке:</w:t>
      </w:r>
    </w:p>
    <w:tbl>
      <w:tblPr>
        <w:tblStyle w:val="a6"/>
        <w:tblW w:w="9606" w:type="dxa"/>
        <w:tblLayout w:type="fixed"/>
        <w:tblLook w:val="04A0"/>
      </w:tblPr>
      <w:tblGrid>
        <w:gridCol w:w="4361"/>
        <w:gridCol w:w="2977"/>
        <w:gridCol w:w="2268"/>
      </w:tblGrid>
      <w:tr w:rsidR="00DE38B5" w:rsidRPr="00E460C1" w:rsidTr="00AE6229">
        <w:trPr>
          <w:trHeight w:val="425"/>
        </w:trPr>
        <w:tc>
          <w:tcPr>
            <w:tcW w:w="4361" w:type="dxa"/>
            <w:vAlign w:val="center"/>
          </w:tcPr>
          <w:p w:rsidR="00DE38B5" w:rsidRPr="00E460C1" w:rsidRDefault="00DE38B5" w:rsidP="00DE38B5">
            <w:pPr>
              <w:ind w:firstLine="0"/>
              <w:jc w:val="center"/>
              <w:rPr>
                <w:color w:val="000000" w:themeColor="text1"/>
              </w:rPr>
            </w:pPr>
            <w:r w:rsidRPr="00E460C1">
              <w:rPr>
                <w:color w:val="000000" w:themeColor="text1"/>
              </w:rPr>
              <w:t>Надбавка за экспедирование груза, подлежащего ветеринарному контролю</w:t>
            </w:r>
          </w:p>
        </w:tc>
        <w:tc>
          <w:tcPr>
            <w:tcW w:w="2977" w:type="dxa"/>
            <w:vAlign w:val="center"/>
          </w:tcPr>
          <w:p w:rsidR="00DE38B5" w:rsidRPr="00E460C1" w:rsidRDefault="00DE38B5" w:rsidP="00DE38B5">
            <w:pPr>
              <w:ind w:firstLine="0"/>
              <w:jc w:val="center"/>
              <w:rPr>
                <w:color w:val="000000" w:themeColor="text1"/>
              </w:rPr>
            </w:pPr>
            <w:r>
              <w:rPr>
                <w:color w:val="000000" w:themeColor="text1"/>
              </w:rPr>
              <w:t>300,00</w:t>
            </w:r>
          </w:p>
        </w:tc>
        <w:tc>
          <w:tcPr>
            <w:tcW w:w="2268" w:type="dxa"/>
            <w:vAlign w:val="center"/>
          </w:tcPr>
          <w:p w:rsidR="00DE38B5" w:rsidRPr="00E460C1" w:rsidRDefault="00DE38B5" w:rsidP="00DE38B5">
            <w:pPr>
              <w:ind w:firstLine="0"/>
              <w:jc w:val="center"/>
              <w:rPr>
                <w:color w:val="000000" w:themeColor="text1"/>
              </w:rPr>
            </w:pPr>
          </w:p>
        </w:tc>
      </w:tr>
    </w:tbl>
    <w:p w:rsidR="00DE38B5" w:rsidRDefault="00DE38B5" w:rsidP="00FD47C4">
      <w:pPr>
        <w:jc w:val="both"/>
        <w:rPr>
          <w:b/>
          <w:color w:val="000000" w:themeColor="text1"/>
          <w:szCs w:val="28"/>
        </w:rPr>
      </w:pPr>
      <w:r>
        <w:rPr>
          <w:b/>
          <w:color w:val="000000" w:themeColor="text1"/>
          <w:szCs w:val="28"/>
        </w:rPr>
        <w:t>указать:</w:t>
      </w:r>
    </w:p>
    <w:tbl>
      <w:tblPr>
        <w:tblStyle w:val="a6"/>
        <w:tblW w:w="9606" w:type="dxa"/>
        <w:tblLayout w:type="fixed"/>
        <w:tblLook w:val="04A0"/>
      </w:tblPr>
      <w:tblGrid>
        <w:gridCol w:w="4361"/>
        <w:gridCol w:w="2977"/>
        <w:gridCol w:w="2268"/>
      </w:tblGrid>
      <w:tr w:rsidR="00DE38B5" w:rsidRPr="00D35BC2" w:rsidTr="00AE6229">
        <w:trPr>
          <w:trHeight w:val="425"/>
        </w:trPr>
        <w:tc>
          <w:tcPr>
            <w:tcW w:w="4361" w:type="dxa"/>
            <w:vAlign w:val="center"/>
          </w:tcPr>
          <w:p w:rsidR="00DE38B5" w:rsidRPr="00D35BC2" w:rsidRDefault="00DE38B5" w:rsidP="00DE38B5">
            <w:pPr>
              <w:ind w:firstLine="0"/>
              <w:jc w:val="center"/>
              <w:rPr>
                <w:b/>
                <w:color w:val="000000" w:themeColor="text1"/>
              </w:rPr>
            </w:pPr>
            <w:r w:rsidRPr="00D35BC2">
              <w:rPr>
                <w:b/>
                <w:color w:val="000000" w:themeColor="text1"/>
              </w:rPr>
              <w:t>Наименование услуги</w:t>
            </w:r>
          </w:p>
        </w:tc>
        <w:tc>
          <w:tcPr>
            <w:tcW w:w="2977" w:type="dxa"/>
            <w:tcBorders>
              <w:bottom w:val="single" w:sz="4" w:space="0" w:color="auto"/>
            </w:tcBorders>
            <w:vAlign w:val="center"/>
          </w:tcPr>
          <w:p w:rsidR="00DE38B5" w:rsidRPr="00BC0F09" w:rsidRDefault="00DE38B5" w:rsidP="00DE38B5">
            <w:pPr>
              <w:ind w:firstLine="0"/>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268" w:type="dxa"/>
            <w:tcBorders>
              <w:bottom w:val="single" w:sz="4" w:space="0" w:color="auto"/>
            </w:tcBorders>
            <w:vAlign w:val="center"/>
          </w:tcPr>
          <w:p w:rsidR="00DE38B5" w:rsidRPr="00D35BC2" w:rsidRDefault="00DE38B5" w:rsidP="00DE38B5">
            <w:pPr>
              <w:ind w:firstLine="0"/>
              <w:jc w:val="center"/>
              <w:rPr>
                <w:b/>
                <w:color w:val="000000" w:themeColor="text1"/>
              </w:rPr>
            </w:pPr>
            <w:r w:rsidRPr="00D35BC2">
              <w:rPr>
                <w:b/>
                <w:color w:val="000000" w:themeColor="text1"/>
              </w:rPr>
              <w:t>Примечание</w:t>
            </w:r>
          </w:p>
        </w:tc>
      </w:tr>
      <w:tr w:rsidR="00DE38B5" w:rsidRPr="00E460C1" w:rsidTr="00DE38B5">
        <w:trPr>
          <w:trHeight w:val="425"/>
        </w:trPr>
        <w:tc>
          <w:tcPr>
            <w:tcW w:w="4361" w:type="dxa"/>
            <w:vAlign w:val="center"/>
          </w:tcPr>
          <w:p w:rsidR="00DE38B5" w:rsidRPr="00E460C1" w:rsidRDefault="00DE38B5" w:rsidP="00DE38B5">
            <w:pPr>
              <w:ind w:firstLine="0"/>
              <w:jc w:val="center"/>
              <w:rPr>
                <w:color w:val="000000" w:themeColor="text1"/>
              </w:rPr>
            </w:pPr>
            <w:r w:rsidRPr="00E460C1">
              <w:rPr>
                <w:color w:val="000000" w:themeColor="text1"/>
              </w:rPr>
              <w:t>Надбавка за экспедирование груза, подлежащего ветеринарному контролю</w:t>
            </w:r>
          </w:p>
        </w:tc>
        <w:tc>
          <w:tcPr>
            <w:tcW w:w="2977" w:type="dxa"/>
            <w:vAlign w:val="center"/>
          </w:tcPr>
          <w:p w:rsidR="00DE38B5" w:rsidRPr="00E460C1" w:rsidRDefault="00DE38B5" w:rsidP="00DE38B5">
            <w:pPr>
              <w:ind w:firstLine="0"/>
              <w:jc w:val="center"/>
              <w:rPr>
                <w:color w:val="000000" w:themeColor="text1"/>
              </w:rPr>
            </w:pPr>
            <w:r>
              <w:rPr>
                <w:color w:val="000000" w:themeColor="text1"/>
              </w:rPr>
              <w:t>3 000,00</w:t>
            </w:r>
          </w:p>
        </w:tc>
        <w:tc>
          <w:tcPr>
            <w:tcW w:w="2268" w:type="dxa"/>
            <w:vAlign w:val="center"/>
          </w:tcPr>
          <w:p w:rsidR="00DE38B5" w:rsidRPr="00E460C1" w:rsidRDefault="00DE38B5" w:rsidP="00DE38B5">
            <w:pPr>
              <w:ind w:firstLine="0"/>
              <w:jc w:val="center"/>
              <w:rPr>
                <w:color w:val="000000" w:themeColor="text1"/>
              </w:rPr>
            </w:pPr>
          </w:p>
        </w:tc>
      </w:tr>
    </w:tbl>
    <w:p w:rsidR="00D71D4B" w:rsidRDefault="00D71D4B" w:rsidP="00D71D4B">
      <w:pPr>
        <w:pStyle w:val="Style5"/>
        <w:widowControl/>
        <w:tabs>
          <w:tab w:val="left" w:pos="418"/>
        </w:tabs>
        <w:spacing w:line="240" w:lineRule="auto"/>
        <w:ind w:firstLine="709"/>
        <w:rPr>
          <w:sz w:val="28"/>
          <w:szCs w:val="28"/>
        </w:rPr>
      </w:pPr>
      <w:r w:rsidRPr="00D71D4B">
        <w:rPr>
          <w:color w:val="000000" w:themeColor="text1"/>
          <w:sz w:val="28"/>
          <w:szCs w:val="28"/>
        </w:rPr>
        <w:t>9.</w:t>
      </w:r>
      <w:r>
        <w:rPr>
          <w:b/>
          <w:color w:val="000000" w:themeColor="text1"/>
          <w:szCs w:val="28"/>
        </w:rPr>
        <w:t xml:space="preserve"> </w:t>
      </w:r>
      <w:r w:rsidRPr="00982357">
        <w:rPr>
          <w:sz w:val="28"/>
          <w:szCs w:val="28"/>
        </w:rPr>
        <w:t xml:space="preserve">Пункты </w:t>
      </w:r>
      <w:r>
        <w:rPr>
          <w:sz w:val="28"/>
          <w:szCs w:val="28"/>
        </w:rPr>
        <w:t>6</w:t>
      </w:r>
      <w:r w:rsidRPr="00982357">
        <w:rPr>
          <w:sz w:val="28"/>
          <w:szCs w:val="28"/>
        </w:rPr>
        <w:t>, 8, 10 раздела 5 Информационная карта документации о закупке изложить в следующей редакции</w:t>
      </w: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D71D4B" w:rsidRPr="00E0523B" w:rsidTr="006A012A">
        <w:tc>
          <w:tcPr>
            <w:tcW w:w="675" w:type="dxa"/>
          </w:tcPr>
          <w:p w:rsidR="00D71D4B" w:rsidRPr="006A012A" w:rsidRDefault="00D71D4B" w:rsidP="00AE6229">
            <w:pPr>
              <w:pStyle w:val="1"/>
              <w:ind w:firstLine="0"/>
              <w:rPr>
                <w:b/>
                <w:szCs w:val="28"/>
              </w:rPr>
            </w:pPr>
            <w:r w:rsidRPr="006A012A">
              <w:rPr>
                <w:b/>
                <w:szCs w:val="28"/>
              </w:rPr>
              <w:t>6.</w:t>
            </w:r>
          </w:p>
        </w:tc>
        <w:tc>
          <w:tcPr>
            <w:tcW w:w="2410" w:type="dxa"/>
          </w:tcPr>
          <w:p w:rsidR="00D71D4B" w:rsidRPr="006A012A" w:rsidRDefault="00D71D4B" w:rsidP="00AE6229">
            <w:pPr>
              <w:pStyle w:val="Default"/>
              <w:rPr>
                <w:b/>
                <w:color w:val="auto"/>
                <w:sz w:val="28"/>
                <w:szCs w:val="28"/>
              </w:rPr>
            </w:pPr>
            <w:r w:rsidRPr="006A012A">
              <w:rPr>
                <w:b/>
                <w:color w:val="auto"/>
                <w:sz w:val="28"/>
                <w:szCs w:val="28"/>
              </w:rPr>
              <w:t xml:space="preserve">Место, дата начала и окончания подачи Заявок </w:t>
            </w:r>
          </w:p>
        </w:tc>
        <w:tc>
          <w:tcPr>
            <w:tcW w:w="6768" w:type="dxa"/>
          </w:tcPr>
          <w:p w:rsidR="00D71D4B" w:rsidRPr="006A012A" w:rsidRDefault="00D71D4B" w:rsidP="00D71D4B">
            <w:pPr>
              <w:pStyle w:val="1"/>
              <w:ind w:firstLine="0"/>
              <w:rPr>
                <w:b/>
                <w:szCs w:val="28"/>
              </w:rPr>
            </w:pPr>
            <w:proofErr w:type="gramStart"/>
            <w:r w:rsidRPr="006A012A">
              <w:rPr>
                <w:szCs w:val="28"/>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«04» мая 2016 г. по адресу, указанному в пункте 2 настоящей Информационной</w:t>
            </w:r>
            <w:proofErr w:type="gramEnd"/>
            <w:r w:rsidRPr="006A012A">
              <w:rPr>
                <w:szCs w:val="28"/>
              </w:rPr>
              <w:t xml:space="preserve"> карты. </w:t>
            </w:r>
          </w:p>
        </w:tc>
      </w:tr>
      <w:tr w:rsidR="00D71D4B" w:rsidRPr="00E0523B" w:rsidTr="006A012A">
        <w:tc>
          <w:tcPr>
            <w:tcW w:w="675" w:type="dxa"/>
          </w:tcPr>
          <w:p w:rsidR="00D71D4B" w:rsidRPr="006A012A" w:rsidRDefault="00D71D4B" w:rsidP="00AE6229">
            <w:pPr>
              <w:pStyle w:val="1"/>
              <w:ind w:firstLine="0"/>
              <w:rPr>
                <w:b/>
                <w:szCs w:val="28"/>
              </w:rPr>
            </w:pPr>
            <w:r w:rsidRPr="006A012A">
              <w:rPr>
                <w:b/>
                <w:szCs w:val="28"/>
              </w:rPr>
              <w:t xml:space="preserve">8. </w:t>
            </w:r>
          </w:p>
        </w:tc>
        <w:tc>
          <w:tcPr>
            <w:tcW w:w="2410" w:type="dxa"/>
          </w:tcPr>
          <w:p w:rsidR="00D71D4B" w:rsidRPr="006A012A" w:rsidRDefault="00D71D4B" w:rsidP="00AE6229">
            <w:pPr>
              <w:pStyle w:val="Default"/>
              <w:rPr>
                <w:b/>
                <w:color w:val="auto"/>
                <w:sz w:val="28"/>
                <w:szCs w:val="28"/>
              </w:rPr>
            </w:pPr>
            <w:r w:rsidRPr="006A012A">
              <w:rPr>
                <w:b/>
                <w:color w:val="auto"/>
                <w:sz w:val="28"/>
                <w:szCs w:val="28"/>
              </w:rPr>
              <w:t>Оценка и сопоставление Заявок</w:t>
            </w:r>
          </w:p>
        </w:tc>
        <w:tc>
          <w:tcPr>
            <w:tcW w:w="6768" w:type="dxa"/>
          </w:tcPr>
          <w:p w:rsidR="00D71D4B" w:rsidRPr="006A012A" w:rsidRDefault="00D71D4B" w:rsidP="00D71D4B">
            <w:pPr>
              <w:pStyle w:val="1"/>
              <w:ind w:firstLine="0"/>
              <w:rPr>
                <w:szCs w:val="28"/>
              </w:rPr>
            </w:pPr>
            <w:r w:rsidRPr="006A012A">
              <w:rPr>
                <w:szCs w:val="28"/>
              </w:rPr>
              <w:t xml:space="preserve">Оценка и сопоставление Заявок состоится </w:t>
            </w:r>
            <w:r w:rsidRPr="006A012A">
              <w:rPr>
                <w:szCs w:val="28"/>
              </w:rPr>
              <w:br/>
              <w:t>«05» мая 2016 г. в 14 часов 00 минут местного времени по адресу, указанному в пункте 2 настоящей Информационной карты</w:t>
            </w:r>
          </w:p>
        </w:tc>
      </w:tr>
      <w:tr w:rsidR="00D71D4B" w:rsidRPr="00B03784" w:rsidTr="006A012A">
        <w:tc>
          <w:tcPr>
            <w:tcW w:w="675" w:type="dxa"/>
          </w:tcPr>
          <w:p w:rsidR="00D71D4B" w:rsidRPr="006A012A" w:rsidRDefault="00D71D4B" w:rsidP="00AE6229">
            <w:pPr>
              <w:pStyle w:val="1"/>
              <w:ind w:firstLine="0"/>
              <w:rPr>
                <w:b/>
                <w:szCs w:val="28"/>
              </w:rPr>
            </w:pPr>
            <w:r w:rsidRPr="006A012A">
              <w:rPr>
                <w:b/>
                <w:szCs w:val="28"/>
              </w:rPr>
              <w:t>10.</w:t>
            </w:r>
          </w:p>
        </w:tc>
        <w:tc>
          <w:tcPr>
            <w:tcW w:w="2410" w:type="dxa"/>
          </w:tcPr>
          <w:p w:rsidR="00D71D4B" w:rsidRPr="006A012A" w:rsidRDefault="00D71D4B" w:rsidP="00AE6229">
            <w:pPr>
              <w:pStyle w:val="Default"/>
              <w:rPr>
                <w:b/>
                <w:color w:val="auto"/>
                <w:sz w:val="28"/>
                <w:szCs w:val="28"/>
              </w:rPr>
            </w:pPr>
            <w:r w:rsidRPr="006A012A">
              <w:rPr>
                <w:b/>
                <w:color w:val="auto"/>
                <w:sz w:val="28"/>
                <w:szCs w:val="28"/>
              </w:rPr>
              <w:t>Подведение итогов</w:t>
            </w:r>
          </w:p>
        </w:tc>
        <w:tc>
          <w:tcPr>
            <w:tcW w:w="6768" w:type="dxa"/>
          </w:tcPr>
          <w:p w:rsidR="00D71D4B" w:rsidRPr="006A012A" w:rsidRDefault="00D71D4B" w:rsidP="00AE6229">
            <w:pPr>
              <w:pStyle w:val="1"/>
              <w:ind w:firstLine="0"/>
              <w:rPr>
                <w:szCs w:val="28"/>
                <w:highlight w:val="cyan"/>
              </w:rPr>
            </w:pPr>
            <w:r w:rsidRPr="006A012A">
              <w:rPr>
                <w:szCs w:val="28"/>
              </w:rPr>
              <w:t>Подведение итогов состоится не позднее 10 часов 00 минут местного времени «12» мая 2016 г. по адресу, указанному в пункте 9 Информационной карты</w:t>
            </w:r>
          </w:p>
        </w:tc>
      </w:tr>
    </w:tbl>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Pr="005A7EC4" w:rsidRDefault="00D71D4B" w:rsidP="00D71D4B">
      <w:pPr>
        <w:pStyle w:val="Style5"/>
        <w:widowControl/>
        <w:tabs>
          <w:tab w:val="left" w:pos="418"/>
        </w:tabs>
        <w:spacing w:line="240" w:lineRule="auto"/>
        <w:ind w:firstLine="709"/>
        <w:rPr>
          <w:color w:val="000000"/>
          <w:sz w:val="28"/>
          <w:szCs w:val="28"/>
        </w:rPr>
      </w:pPr>
    </w:p>
    <w:p w:rsidR="00DE38B5" w:rsidRDefault="00DE38B5" w:rsidP="00FD47C4">
      <w:pPr>
        <w:jc w:val="both"/>
        <w:rPr>
          <w:b/>
          <w:color w:val="000000" w:themeColor="text1"/>
          <w:szCs w:val="28"/>
        </w:rPr>
      </w:pPr>
    </w:p>
    <w:p w:rsidR="00F206F4" w:rsidRPr="00556172" w:rsidRDefault="00F206F4" w:rsidP="00FD47C4">
      <w:pPr>
        <w:jc w:val="both"/>
        <w:rPr>
          <w:b/>
          <w:color w:val="000000" w:themeColor="text1"/>
          <w:szCs w:val="28"/>
        </w:rPr>
      </w:pPr>
    </w:p>
    <w:p w:rsidR="00556172" w:rsidRDefault="00556172" w:rsidP="00FD47C4">
      <w:pPr>
        <w:jc w:val="both"/>
      </w:pPr>
    </w:p>
    <w:sectPr w:rsidR="00556172"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0F8F"/>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1857"/>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4CE6"/>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82C"/>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0DB2"/>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172"/>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47CE"/>
    <w:rsid w:val="00597604"/>
    <w:rsid w:val="005A1AFF"/>
    <w:rsid w:val="005A4B63"/>
    <w:rsid w:val="005A69AB"/>
    <w:rsid w:val="005A7EC4"/>
    <w:rsid w:val="005B1996"/>
    <w:rsid w:val="005B461C"/>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012A"/>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C7130"/>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45DEF"/>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2357"/>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1E1"/>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3D92"/>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86A"/>
    <w:rsid w:val="00D41942"/>
    <w:rsid w:val="00D420EC"/>
    <w:rsid w:val="00D463CE"/>
    <w:rsid w:val="00D47822"/>
    <w:rsid w:val="00D505DB"/>
    <w:rsid w:val="00D6082B"/>
    <w:rsid w:val="00D60970"/>
    <w:rsid w:val="00D650FD"/>
    <w:rsid w:val="00D7150D"/>
    <w:rsid w:val="00D71914"/>
    <w:rsid w:val="00D71D4B"/>
    <w:rsid w:val="00D74F96"/>
    <w:rsid w:val="00D80234"/>
    <w:rsid w:val="00D82291"/>
    <w:rsid w:val="00D823BD"/>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38B5"/>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06F4"/>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3BA"/>
    <w:rsid w:val="00FC2C2B"/>
    <w:rsid w:val="00FC312F"/>
    <w:rsid w:val="00FC396B"/>
    <w:rsid w:val="00FC3E05"/>
    <w:rsid w:val="00FC44A2"/>
    <w:rsid w:val="00FC628B"/>
    <w:rsid w:val="00FD0055"/>
    <w:rsid w:val="00FD306E"/>
    <w:rsid w:val="00FD38F9"/>
    <w:rsid w:val="00FD4039"/>
    <w:rsid w:val="00FD47C4"/>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customStyle="1" w:styleId="FontStyle82">
    <w:name w:val="Font Style82"/>
    <w:basedOn w:val="a0"/>
    <w:uiPriority w:val="99"/>
    <w:rsid w:val="00982357"/>
    <w:rPr>
      <w:rFonts w:ascii="Times New Roman" w:hAnsi="Times New Roman" w:cs="Times New Roman"/>
      <w:color w:val="000000"/>
      <w:sz w:val="24"/>
      <w:szCs w:val="24"/>
    </w:rPr>
  </w:style>
  <w:style w:type="paragraph" w:customStyle="1" w:styleId="Style5">
    <w:name w:val="Style5"/>
    <w:basedOn w:val="a"/>
    <w:uiPriority w:val="99"/>
    <w:rsid w:val="00982357"/>
    <w:pPr>
      <w:widowControl w:val="0"/>
      <w:tabs>
        <w:tab w:val="clear" w:pos="709"/>
      </w:tabs>
      <w:autoSpaceDE w:val="0"/>
      <w:autoSpaceDN w:val="0"/>
      <w:adjustRightInd w:val="0"/>
      <w:spacing w:line="256" w:lineRule="exact"/>
      <w:ind w:firstLine="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4B7B-25AC-4737-AF6B-08900133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10</cp:revision>
  <cp:lastPrinted>2016-04-25T14:12:00Z</cp:lastPrinted>
  <dcterms:created xsi:type="dcterms:W3CDTF">2016-04-22T11:42:00Z</dcterms:created>
  <dcterms:modified xsi:type="dcterms:W3CDTF">2016-04-25T14:13:00Z</dcterms:modified>
</cp:coreProperties>
</file>