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803"/>
      </w:tblGrid>
      <w:tr w:rsidR="009833C8" w:rsidTr="00DE241E">
        <w:trPr>
          <w:trHeight w:val="1644"/>
        </w:trPr>
        <w:tc>
          <w:tcPr>
            <w:tcW w:w="9803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6334A8" w:rsidRPr="006334A8">
                    <w:rPr>
                      <w:sz w:val="27"/>
                      <w:szCs w:val="27"/>
                    </w:rPr>
                    <w:t>ОКэ-ЦКПКЗ-25-0011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6334A8">
              <w:t>ОКэ-ЦКПКЗ-25-0011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334A8">
              <w:rPr>
                <w:szCs w:val="28"/>
              </w:rPr>
              <w:t>16</w:t>
            </w:r>
            <w:r w:rsidR="004C6465">
              <w:rPr>
                <w:szCs w:val="28"/>
              </w:rPr>
              <w:t xml:space="preserve"> </w:t>
            </w:r>
            <w:r w:rsidR="002D5F9E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334A8">
              <w:rPr>
                <w:szCs w:val="28"/>
              </w:rPr>
              <w:t>14.3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6334A8">
              <w:t>ОКэ-ЦКПКЗ-25-0011</w:t>
            </w:r>
            <w:r w:rsidR="006334A8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6334A8" w:rsidRPr="009874C4">
              <w:rPr>
                <w:szCs w:val="28"/>
              </w:rPr>
              <w:t>Поставка поглощающих аппаратов класса Т 2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Pr="00A629F7">
              <w:rPr>
                <w:szCs w:val="28"/>
              </w:rPr>
              <w:t xml:space="preserve">путем </w:t>
            </w:r>
            <w:r w:rsidR="0002300F">
              <w:rPr>
                <w:szCs w:val="28"/>
              </w:rPr>
              <w:t>улучшения участниками ценовых предложений</w:t>
            </w:r>
            <w:r w:rsidR="002D5F9E">
              <w:rPr>
                <w:szCs w:val="28"/>
              </w:rPr>
              <w:t>,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lastRenderedPageBreak/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6960D5" w:rsidRDefault="006334A8" w:rsidP="00A629F7">
            <w:pPr>
              <w:ind w:firstLine="720"/>
              <w:jc w:val="both"/>
              <w:rPr>
                <w:sz w:val="24"/>
                <w:szCs w:val="24"/>
              </w:rPr>
            </w:pPr>
            <w:hyperlink r:id="rId8" w:history="1">
              <w:r w:rsidRPr="00640069">
                <w:rPr>
                  <w:rStyle w:val="a6"/>
                  <w:sz w:val="24"/>
                  <w:szCs w:val="24"/>
                </w:rPr>
                <w:t>Zakupki-CKP@trcont.ru</w:t>
              </w:r>
            </w:hyperlink>
          </w:p>
          <w:p w:rsidR="006334A8" w:rsidRPr="004C6465" w:rsidRDefault="006334A8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6334A8">
              <w:rPr>
                <w:sz w:val="28"/>
                <w:szCs w:val="28"/>
              </w:rPr>
              <w:t>16-41, 15-31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DB3966">
              <w:rPr>
                <w:color w:val="000000"/>
                <w:sz w:val="28"/>
                <w:szCs w:val="28"/>
              </w:rPr>
              <w:t>21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2D5F9E" w:rsidRPr="00E265FC">
              <w:rPr>
                <w:color w:val="000000"/>
                <w:sz w:val="28"/>
                <w:szCs w:val="28"/>
              </w:rPr>
              <w:t>апреля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3C3193">
              <w:rPr>
                <w:color w:val="000000"/>
                <w:sz w:val="28"/>
                <w:szCs w:val="28"/>
              </w:rPr>
              <w:t>2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DB3966">
              <w:rPr>
                <w:color w:val="000000"/>
                <w:sz w:val="28"/>
                <w:szCs w:val="28"/>
              </w:rPr>
              <w:t>22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2D5F9E" w:rsidRPr="00E265FC">
              <w:rPr>
                <w:color w:val="000000"/>
                <w:sz w:val="28"/>
                <w:szCs w:val="28"/>
              </w:rPr>
              <w:t>апреля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1</w:t>
            </w:r>
            <w:r w:rsidR="00AE5F4E">
              <w:rPr>
                <w:color w:val="000000"/>
                <w:sz w:val="28"/>
                <w:szCs w:val="28"/>
              </w:rPr>
              <w:t>4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3C3193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</w:p>
          <w:p w:rsidR="006334A8" w:rsidRPr="00A629F7" w:rsidRDefault="00A629F7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6334A8" w:rsidRPr="00A629F7">
              <w:rPr>
                <w:sz w:val="28"/>
                <w:szCs w:val="28"/>
              </w:rPr>
              <w:t>Москва, Оружейный переулок, д. 19.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Не позднее «</w:t>
            </w:r>
            <w:r w:rsidR="00AE5F4E">
              <w:rPr>
                <w:sz w:val="28"/>
                <w:szCs w:val="28"/>
              </w:rPr>
              <w:t>30</w:t>
            </w:r>
            <w:r w:rsidRPr="00E265FC">
              <w:rPr>
                <w:sz w:val="28"/>
                <w:szCs w:val="28"/>
              </w:rPr>
              <w:t xml:space="preserve">» </w:t>
            </w:r>
            <w:r w:rsidR="002D5F9E" w:rsidRPr="00E265FC">
              <w:rPr>
                <w:sz w:val="28"/>
                <w:szCs w:val="28"/>
              </w:rPr>
              <w:t>апрел</w:t>
            </w:r>
            <w:bookmarkStart w:id="0" w:name="_GoBack"/>
            <w:bookmarkEnd w:id="0"/>
            <w:r w:rsidR="002D5F9E" w:rsidRPr="00E265FC">
              <w:rPr>
                <w:sz w:val="28"/>
                <w:szCs w:val="28"/>
              </w:rPr>
              <w:t>я</w:t>
            </w:r>
            <w:r w:rsidRPr="00E265FC">
              <w:rPr>
                <w:sz w:val="28"/>
                <w:szCs w:val="28"/>
              </w:rPr>
              <w:t xml:space="preserve"> 202</w:t>
            </w:r>
            <w:r w:rsidR="006960D5" w:rsidRPr="00E265FC">
              <w:rPr>
                <w:sz w:val="28"/>
                <w:szCs w:val="28"/>
              </w:rPr>
              <w:t>5</w:t>
            </w:r>
            <w:r w:rsidRPr="00E265FC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5D4BF8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DE241E">
        <w:trPr>
          <w:trHeight w:val="680"/>
        </w:trPr>
        <w:tc>
          <w:tcPr>
            <w:tcW w:w="9803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2D5F9E"/>
    <w:rsid w:val="00353D43"/>
    <w:rsid w:val="0037427A"/>
    <w:rsid w:val="003C30D8"/>
    <w:rsid w:val="003C3193"/>
    <w:rsid w:val="004A3ECF"/>
    <w:rsid w:val="004C6465"/>
    <w:rsid w:val="004F2C75"/>
    <w:rsid w:val="005F3241"/>
    <w:rsid w:val="006075B2"/>
    <w:rsid w:val="006324A6"/>
    <w:rsid w:val="006334A8"/>
    <w:rsid w:val="006433BE"/>
    <w:rsid w:val="006960D5"/>
    <w:rsid w:val="006D2411"/>
    <w:rsid w:val="00741AA7"/>
    <w:rsid w:val="00775585"/>
    <w:rsid w:val="00855D37"/>
    <w:rsid w:val="008815FA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B3966"/>
    <w:rsid w:val="00DE2229"/>
    <w:rsid w:val="00DE241E"/>
    <w:rsid w:val="00DF5F8A"/>
    <w:rsid w:val="00E265FC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3079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FA18E-C17E-4921-97BC-B0B983F4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27</cp:revision>
  <dcterms:created xsi:type="dcterms:W3CDTF">2024-04-24T13:12:00Z</dcterms:created>
  <dcterms:modified xsi:type="dcterms:W3CDTF">2025-04-17T10:39:00Z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