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b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26"/>
        <w:gridCol w:w="567"/>
        <w:gridCol w:w="425"/>
        <w:gridCol w:w="1843"/>
      </w:tblGrid>
      <w:tr w:rsidR="00772D38">
        <w:trPr>
          <w:trHeight w:val="43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72D38" w:rsidRPr="00236B9E" w:rsidRDefault="00236B9E" w:rsidP="00236B9E">
            <w:pPr>
              <w:pStyle w:val="afc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426" w:type="dxa"/>
            <w:vAlign w:val="center"/>
          </w:tcPr>
          <w:p w:rsidR="00772D38" w:rsidRDefault="00466414">
            <w:pPr>
              <w:pStyle w:val="afc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772D38" w:rsidRDefault="00236B9E" w:rsidP="00236B9E">
            <w:pPr>
              <w:pStyle w:val="afc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б/</w:t>
            </w:r>
            <w:proofErr w:type="gramStart"/>
            <w:r>
              <w:rPr>
                <w:sz w:val="24"/>
                <w:szCs w:val="24"/>
                <w:lang w:val="ru-RU"/>
              </w:rPr>
              <w:t>н</w:t>
            </w:r>
            <w:proofErr w:type="gramEnd"/>
          </w:p>
        </w:tc>
      </w:tr>
      <w:tr w:rsidR="00772D38">
        <w:trPr>
          <w:trHeight w:val="454"/>
        </w:trPr>
        <w:tc>
          <w:tcPr>
            <w:tcW w:w="709" w:type="dxa"/>
            <w:vAlign w:val="center"/>
          </w:tcPr>
          <w:p w:rsidR="00772D38" w:rsidRDefault="00466414">
            <w:pPr>
              <w:pStyle w:val="afc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772D38" w:rsidRDefault="00772D38">
            <w:pPr>
              <w:pStyle w:val="afc"/>
              <w:ind w:left="-143" w:firstLine="143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772D38" w:rsidRDefault="00466414">
            <w:pPr>
              <w:pStyle w:val="afc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D38" w:rsidRDefault="00772D38">
            <w:pPr>
              <w:pStyle w:val="afc"/>
              <w:ind w:right="-300"/>
              <w:rPr>
                <w:sz w:val="24"/>
                <w:szCs w:val="24"/>
                <w:lang w:val="ru-RU"/>
              </w:rPr>
            </w:pPr>
          </w:p>
        </w:tc>
      </w:tr>
    </w:tbl>
    <w:p w:rsidR="00772D38" w:rsidRDefault="00772D38">
      <w:pPr>
        <w:pStyle w:val="a0"/>
        <w:rPr>
          <w:rFonts w:cstheme="minorHAnsi"/>
          <w:sz w:val="28"/>
          <w:szCs w:val="28"/>
        </w:rPr>
      </w:pPr>
    </w:p>
    <w:p w:rsidR="00772D38" w:rsidRDefault="00466414">
      <w:pPr>
        <w:pStyle w:val="a0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D99F8A" wp14:editId="45CA59BC">
                <wp:simplePos x="0" y="0"/>
                <wp:positionH relativeFrom="page">
                  <wp:posOffset>4558030</wp:posOffset>
                </wp:positionH>
                <wp:positionV relativeFrom="page">
                  <wp:posOffset>1256665</wp:posOffset>
                </wp:positionV>
                <wp:extent cx="2426400" cy="1702800"/>
                <wp:effectExtent l="0" t="0" r="12065" b="1206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6400" cy="17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 w:rsidR="00511BA7" w:rsidRDefault="00511BA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8.9pt;margin-top:98.95pt;width:191.05pt;height:134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" filled="f" stroked="f" strokeweight=".5pt">
                <v:textbox inset="1mm,1mm,1mm,1mm">
                  <w:txbxContent>
                    <w:p w:rsidR="0038162F" w:rsidRDefault="0038162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6B9E" w:rsidRDefault="00236B9E" w:rsidP="00236B9E">
      <w:pPr>
        <w:ind w:left="3969"/>
        <w:rPr>
          <w:b/>
          <w:color w:val="FF0000"/>
          <w:sz w:val="28"/>
          <w:szCs w:val="28"/>
        </w:rPr>
      </w:pPr>
    </w:p>
    <w:p w:rsidR="00236B9E" w:rsidRPr="00BF4D73" w:rsidRDefault="00236B9E" w:rsidP="00236B9E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236B9E" w:rsidRPr="00BF4D73" w:rsidRDefault="00236B9E" w:rsidP="00236B9E">
      <w:pPr>
        <w:jc w:val="both"/>
        <w:rPr>
          <w:bCs/>
          <w:sz w:val="28"/>
          <w:szCs w:val="28"/>
        </w:rPr>
      </w:pPr>
    </w:p>
    <w:p w:rsidR="00236B9E" w:rsidRPr="0073779A" w:rsidRDefault="00236B9E" w:rsidP="00236B9E">
      <w:pPr>
        <w:pStyle w:val="16"/>
        <w:ind w:firstLine="397"/>
        <w:jc w:val="center"/>
        <w:rPr>
          <w:b/>
          <w:bCs/>
          <w:szCs w:val="28"/>
        </w:rPr>
      </w:pPr>
      <w:r>
        <w:rPr>
          <w:b/>
          <w:bCs/>
          <w:snapToGrid w:val="0"/>
          <w:szCs w:val="28"/>
        </w:rPr>
        <w:t xml:space="preserve">Уральский филиал </w:t>
      </w:r>
      <w:r w:rsidRPr="00BF4D73">
        <w:rPr>
          <w:b/>
          <w:bCs/>
          <w:snapToGrid w:val="0"/>
          <w:szCs w:val="28"/>
        </w:rPr>
        <w:t xml:space="preserve">ПАО «ТрансКонтейнер» информирует о внесении изменений в документацию </w:t>
      </w:r>
      <w:r>
        <w:rPr>
          <w:b/>
          <w:bCs/>
          <w:snapToGrid w:val="0"/>
          <w:szCs w:val="28"/>
        </w:rPr>
        <w:t xml:space="preserve">о </w:t>
      </w:r>
      <w:r w:rsidRPr="0073779A">
        <w:rPr>
          <w:b/>
          <w:bCs/>
          <w:snapToGrid w:val="0"/>
          <w:szCs w:val="28"/>
        </w:rPr>
        <w:t>з</w:t>
      </w:r>
      <w:r w:rsidRPr="0073779A">
        <w:rPr>
          <w:b/>
          <w:bCs/>
          <w:szCs w:val="28"/>
        </w:rPr>
        <w:t xml:space="preserve">акупке </w:t>
      </w:r>
      <w:r>
        <w:rPr>
          <w:b/>
          <w:bCs/>
          <w:szCs w:val="28"/>
        </w:rPr>
        <w:t xml:space="preserve">по </w:t>
      </w:r>
      <w:r w:rsidRPr="00A0256A">
        <w:rPr>
          <w:b/>
          <w:szCs w:val="28"/>
        </w:rPr>
        <w:t>Открыт</w:t>
      </w:r>
      <w:r>
        <w:rPr>
          <w:b/>
          <w:szCs w:val="28"/>
        </w:rPr>
        <w:t>ому</w:t>
      </w:r>
      <w:r w:rsidRPr="00A0256A">
        <w:rPr>
          <w:b/>
          <w:szCs w:val="28"/>
        </w:rPr>
        <w:t xml:space="preserve"> конкур</w:t>
      </w:r>
      <w:r>
        <w:rPr>
          <w:b/>
          <w:szCs w:val="28"/>
        </w:rPr>
        <w:t>су</w:t>
      </w:r>
      <w:r w:rsidRPr="00A0256A">
        <w:rPr>
          <w:b/>
          <w:szCs w:val="28"/>
        </w:rPr>
        <w:t xml:space="preserve"> в электронной форме </w:t>
      </w:r>
      <w:r w:rsidRPr="000E28B2">
        <w:rPr>
          <w:b/>
          <w:szCs w:val="28"/>
        </w:rPr>
        <w:t>№ ОКэ-СВЕРД-25-0009 по предмету закупки «Выполнение проектно-изыскательских работ в рамках реализации строительства контейнерного терминала в составе ТЛЦ на станции Седельниково по проектам:</w:t>
      </w:r>
      <w:r>
        <w:rPr>
          <w:b/>
          <w:szCs w:val="28"/>
        </w:rPr>
        <w:t xml:space="preserve"> </w:t>
      </w:r>
      <w:r w:rsidRPr="000E28B2">
        <w:rPr>
          <w:b/>
          <w:szCs w:val="28"/>
        </w:rPr>
        <w:t>1.</w:t>
      </w:r>
      <w:r w:rsidRPr="000E28B2">
        <w:rPr>
          <w:b/>
          <w:szCs w:val="28"/>
        </w:rPr>
        <w:tab/>
        <w:t>Строительство железнодорожного пути необщего пользования ПАО «ТрансКонтейнер» парк «Терминал» (далее – Проект 1); 2.</w:t>
      </w:r>
      <w:r w:rsidRPr="000E28B2">
        <w:rPr>
          <w:b/>
          <w:szCs w:val="28"/>
        </w:rPr>
        <w:tab/>
        <w:t>Примыкание парка «Терминал» ПАО «ТрансКонтейнер» к железнодорожной инфраструктуре общего пользования станции Седельниково Свердловской железной дороги (далее – Проект 2).»</w:t>
      </w:r>
      <w:r w:rsidRPr="0073779A">
        <w:rPr>
          <w:b/>
          <w:bCs/>
          <w:szCs w:val="28"/>
        </w:rPr>
        <w:t xml:space="preserve"> (далее – </w:t>
      </w:r>
      <w:r>
        <w:rPr>
          <w:b/>
          <w:bCs/>
          <w:szCs w:val="28"/>
        </w:rPr>
        <w:t>Открытый конкурс</w:t>
      </w:r>
      <w:r w:rsidRPr="0073779A">
        <w:rPr>
          <w:b/>
          <w:bCs/>
          <w:szCs w:val="28"/>
        </w:rPr>
        <w:t>)</w:t>
      </w:r>
    </w:p>
    <w:p w:rsidR="00236B9E" w:rsidRPr="00BF4D73" w:rsidRDefault="00236B9E" w:rsidP="00236B9E">
      <w:pPr>
        <w:tabs>
          <w:tab w:val="left" w:pos="709"/>
        </w:tabs>
        <w:jc w:val="center"/>
      </w:pPr>
    </w:p>
    <w:p w:rsidR="00236B9E" w:rsidRDefault="00236B9E" w:rsidP="00236B9E">
      <w:pPr>
        <w:pStyle w:val="a4"/>
        <w:numPr>
          <w:ilvl w:val="0"/>
          <w:numId w:val="1"/>
        </w:numPr>
        <w:suppressAutoHyphens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ECA">
        <w:rPr>
          <w:rFonts w:ascii="Times New Roman" w:hAnsi="Times New Roman" w:cs="Times New Roman"/>
          <w:b/>
          <w:sz w:val="28"/>
          <w:szCs w:val="28"/>
        </w:rPr>
        <w:t>В документации о закупке по Открытому конкурсу:</w:t>
      </w:r>
    </w:p>
    <w:p w:rsidR="00236B9E" w:rsidRPr="00B06397" w:rsidRDefault="00236B9E" w:rsidP="00236B9E">
      <w:pPr>
        <w:pStyle w:val="a4"/>
        <w:suppressAutoHyphens/>
        <w:ind w:left="0" w:firstLine="851"/>
        <w:jc w:val="both"/>
        <w:rPr>
          <w:i/>
          <w:sz w:val="28"/>
          <w:szCs w:val="28"/>
        </w:rPr>
      </w:pPr>
      <w:proofErr w:type="gramStart"/>
      <w:r w:rsidRPr="00B06397">
        <w:rPr>
          <w:rFonts w:ascii="Times New Roman" w:hAnsi="Times New Roman" w:cs="Times New Roman"/>
          <w:sz w:val="28"/>
          <w:szCs w:val="28"/>
        </w:rPr>
        <w:t>1.1.</w:t>
      </w:r>
      <w:r w:rsidRPr="00B06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397">
        <w:rPr>
          <w:bCs/>
          <w:sz w:val="28"/>
          <w:szCs w:val="28"/>
        </w:rPr>
        <w:t xml:space="preserve">часть 1 списка в пункте 13 раздела 5 «Информационная карта» изложить в следующей редакции: </w:t>
      </w:r>
      <w:r w:rsidRPr="00B06397">
        <w:rPr>
          <w:sz w:val="28"/>
          <w:szCs w:val="28"/>
        </w:rPr>
        <w:t>путем перечисления авансового платежа в размере не более 40 000 000,00 (сорока миллионов) рублей 00 копеек суммарно по Договору 1 и Договору 2, но не более 25% (двадцати пяти процентов) по каждому из этих договоров, указанных в подпункте 4.1.2 раздела 4 «Техническое задание» Документации о</w:t>
      </w:r>
      <w:proofErr w:type="gramEnd"/>
      <w:r w:rsidRPr="00B06397">
        <w:rPr>
          <w:sz w:val="28"/>
          <w:szCs w:val="28"/>
        </w:rPr>
        <w:t xml:space="preserve"> </w:t>
      </w:r>
      <w:proofErr w:type="gramStart"/>
      <w:r w:rsidRPr="00B06397">
        <w:rPr>
          <w:sz w:val="28"/>
          <w:szCs w:val="28"/>
        </w:rPr>
        <w:t>закупке, в течение 20 (двадцати) календарных дней с даты предоставления Исполнителем обеспечения исполнения договора, оформленного в соответствии с требованиями пункта 24 настоящей Информационной карты на основании предоставленного Исполнителем счета на оплату  (</w:t>
      </w:r>
      <w:r w:rsidRPr="00B06397">
        <w:rPr>
          <w:i/>
          <w:sz w:val="28"/>
          <w:szCs w:val="28"/>
        </w:rPr>
        <w:t>в случае размера аванса не более 3 000 000,00 (трех миллионов) рублей 00 копеек суммарно по Договору 1 и Договору 2, указанным в подпункте 4.1.2 раздела 4 «Техническое задание</w:t>
      </w:r>
      <w:proofErr w:type="gramEnd"/>
      <w:r w:rsidRPr="00B06397">
        <w:rPr>
          <w:i/>
          <w:sz w:val="28"/>
          <w:szCs w:val="28"/>
        </w:rPr>
        <w:t xml:space="preserve">» </w:t>
      </w:r>
      <w:proofErr w:type="gramStart"/>
      <w:r w:rsidRPr="00B06397">
        <w:rPr>
          <w:i/>
          <w:sz w:val="28"/>
          <w:szCs w:val="28"/>
        </w:rPr>
        <w:t>Документации о закупке, обеспечение исполнения договора не требуется);</w:t>
      </w:r>
      <w:proofErr w:type="gramEnd"/>
    </w:p>
    <w:p w:rsidR="009A6147" w:rsidRPr="00B06397" w:rsidRDefault="00CD71AD" w:rsidP="009A6147">
      <w:pPr>
        <w:pStyle w:val="a4"/>
        <w:suppressAutoHyphens/>
        <w:ind w:left="0" w:firstLine="851"/>
        <w:contextualSpacing w:val="0"/>
        <w:jc w:val="both"/>
        <w:rPr>
          <w:sz w:val="28"/>
          <w:szCs w:val="28"/>
        </w:rPr>
      </w:pPr>
      <w:r w:rsidRPr="00B06397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Pr="00B06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147" w:rsidRPr="00B06397">
        <w:rPr>
          <w:rFonts w:ascii="Times New Roman" w:hAnsi="Times New Roman" w:cs="Times New Roman"/>
          <w:sz w:val="28"/>
          <w:szCs w:val="28"/>
        </w:rPr>
        <w:t>п</w:t>
      </w:r>
      <w:r w:rsidRPr="00B06397">
        <w:rPr>
          <w:sz w:val="28"/>
          <w:szCs w:val="28"/>
        </w:rPr>
        <w:t xml:space="preserve">ункт 17 раздела 5 «Информационная карта» изложить в следующей редакции: </w:t>
      </w:r>
      <w:r w:rsidR="009A6147" w:rsidRPr="00B06397">
        <w:rPr>
          <w:sz w:val="28"/>
          <w:szCs w:val="28"/>
        </w:rPr>
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на его имущество, необходимое для исполнения обязательств по заключаемому по итогам закупки договору, не должен быть наложен арест, деятельность претендента не должна быть приостановлена в порядке, установленном Кодексом Российской Федерации об административных правонарушениях;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не находиться в процессе ликвидации, а также отсутствие информации о ликвидации претендента;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tabs>
          <w:tab w:val="left" w:pos="739"/>
        </w:tabs>
        <w:suppressAutoHyphens/>
        <w:ind w:left="61" w:firstLine="299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наличие за 2022-2025 годы опыта выполнения проектно-изыскательских работ в части проектирования инфраструктуры железнодорожного транспорта общего и/или необщего пользования, не менее чем 1 договор со стоимостью не менее 165 000 000,00 (сто шестьдесят пять миллионов) рублей 00 копеек без учета НДС</w:t>
      </w:r>
      <w:r w:rsidRPr="00B06397">
        <w:rPr>
          <w:color w:val="FF0000"/>
          <w:sz w:val="28"/>
          <w:szCs w:val="28"/>
        </w:rPr>
        <w:t>;</w:t>
      </w:r>
    </w:p>
    <w:p w:rsidR="009A6147" w:rsidRPr="00B06397" w:rsidRDefault="009A6147" w:rsidP="009A6147">
      <w:pPr>
        <w:pStyle w:val="a4"/>
        <w:tabs>
          <w:tab w:val="left" w:pos="739"/>
        </w:tabs>
        <w:ind w:left="61" w:firstLine="299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Претендент считается соответствующим указанному в настоящем подпункте </w:t>
      </w:r>
      <w:proofErr w:type="gramStart"/>
      <w:r w:rsidRPr="00B06397">
        <w:rPr>
          <w:sz w:val="28"/>
          <w:szCs w:val="28"/>
        </w:rPr>
        <w:t>требованию</w:t>
      </w:r>
      <w:proofErr w:type="gramEnd"/>
      <w:r w:rsidRPr="00B06397">
        <w:rPr>
          <w:sz w:val="28"/>
          <w:szCs w:val="28"/>
        </w:rPr>
        <w:t xml:space="preserve"> если согласно бухгалтерской (финансовой) отчетности за два последних завершенных отчетных года (2023 и 2024 годы) объем выручки претендента составляет  не менее 2 000 000 000 (два миллиарда) рублей без учета НДС и при этом за 2022-2025 годы имеется опыт выполнения проектно-изыскательских работ в части проектирования инфраструктуры железнодорожного транспорта общего и/или необщего пользования </w:t>
      </w:r>
      <w:bookmarkStart w:id="0" w:name="_GoBack"/>
      <w:bookmarkEnd w:id="0"/>
      <w:r w:rsidRPr="00B06397">
        <w:rPr>
          <w:sz w:val="28"/>
          <w:szCs w:val="28"/>
        </w:rPr>
        <w:t>по нескольким договорам на общую сумму не менее 165 000 000,00 (сто шестьдесят пять миллионов) рублей без учета НДС.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претендент/участник должен соответствовать требованиям, установленным в соответствии с законодательством Российской Федерации, к лицам, осуществляющим деятельность в области архитектурно-строительного проектирования. Претендент/участник считается соответствующим данному требованию при соблюдении в совокупности следующих условий:  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- является членом саморегулируемой организации в области архитектурно-строительного проектирования; 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- наличие у претендента права выполнять архитектурно-строительное проектирование по договору подряда на подготовку проектной документации в отношении объектов капитального строительства; 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- наличие у саморегулируемой организации, членом которой является претендент/участник, компенсационного фонда возмещения вреда, сформированного в соответствии со статьями 55.4 и 55.16 Градостроительного кодекса Российской Федерации.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Уровень ответственности претендента при этом должен соответствовать представленной претендентом в финансово-коммерческом предложении (приложение № 3 к документации о закупке) стоимости выполнения архитектурно-строительного проектирования (суммарная стоимость по Договору 1 и Договору 2);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претендент/участник/субподрядчик (в случае его привлечения), должен соответствовать требованиям, установленным законодательством </w:t>
      </w:r>
      <w:r w:rsidRPr="00B06397">
        <w:rPr>
          <w:sz w:val="28"/>
          <w:szCs w:val="28"/>
        </w:rPr>
        <w:lastRenderedPageBreak/>
        <w:t xml:space="preserve">Российской </w:t>
      </w:r>
      <w:proofErr w:type="gramStart"/>
      <w:r w:rsidRPr="00B06397">
        <w:rPr>
          <w:sz w:val="28"/>
          <w:szCs w:val="28"/>
        </w:rPr>
        <w:t>Федерации</w:t>
      </w:r>
      <w:proofErr w:type="gramEnd"/>
      <w:r w:rsidRPr="00B06397">
        <w:rPr>
          <w:sz w:val="28"/>
          <w:szCs w:val="28"/>
        </w:rPr>
        <w:t xml:space="preserve"> осуществляющим деятельность в области инженерных изысканий, а именно: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- является членом саморегулируемой организации в области инженерных изысканий; 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- наличие у претендента/участника/субподрядчика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строительства;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- наличие у саморегулируемой организации, членом которой является претендент/участник, компенсационного фонда возмещения вреда, сформированного в соответствии со статьями 55.4 и 55.16 Градостроительного кодекса Российской Федерации.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Уровень ответственности претендента/участника/субподрядчика при этом должен соответствовать представленной претендентом в финансово-коммерческом предложении (приложение №3 к документации о закупке) стоимости выполнения инженерных изысканий (суммарная стоимость по Договору 1 и Договору 2). Для субподрядчика уровень ответственности должен соответствовать объему передаваемых работ;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осуществлять электронный документооборот (далее – ЭДО) с Заказчиком с помощью операторов ЭДО указанных в списке реестра на сайте Федеральной налоговой службы (</w:t>
      </w:r>
      <w:hyperlink r:id="rId9" w:history="1">
        <w:r w:rsidRPr="00B06397">
          <w:rPr>
            <w:rStyle w:val="afa"/>
            <w:sz w:val="28"/>
            <w:szCs w:val="28"/>
            <w:lang w:val="en-US"/>
          </w:rPr>
          <w:t>https</w:t>
        </w:r>
        <w:r w:rsidRPr="00B06397">
          <w:rPr>
            <w:rStyle w:val="afa"/>
            <w:sz w:val="28"/>
            <w:szCs w:val="28"/>
          </w:rPr>
          <w:t>://</w:t>
        </w:r>
        <w:r w:rsidRPr="00B06397">
          <w:rPr>
            <w:rStyle w:val="afa"/>
            <w:sz w:val="28"/>
            <w:szCs w:val="28"/>
            <w:lang w:val="en-US"/>
          </w:rPr>
          <w:t>www</w:t>
        </w:r>
        <w:r w:rsidRPr="00B06397">
          <w:rPr>
            <w:rStyle w:val="afa"/>
            <w:sz w:val="28"/>
            <w:szCs w:val="28"/>
          </w:rPr>
          <w:t>.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nalog</w:t>
        </w:r>
        <w:proofErr w:type="spellEnd"/>
        <w:r w:rsidRPr="00B06397">
          <w:rPr>
            <w:rStyle w:val="afa"/>
            <w:sz w:val="28"/>
            <w:szCs w:val="28"/>
          </w:rPr>
          <w:t>.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ru</w:t>
        </w:r>
        <w:proofErr w:type="spellEnd"/>
      </w:hyperlink>
      <w:r w:rsidRPr="00B06397">
        <w:rPr>
          <w:sz w:val="28"/>
          <w:szCs w:val="28"/>
        </w:rPr>
        <w:t xml:space="preserve">) на условиях, изложенных в проекте договора (приложение № 5 к документации о закупке);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отсутствие информации о признании претендента несостоятельным /банкротом (решение арбитражного суда) и об открытии конкурсного производства;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наличие одного или более положительных актов государственных приемочных комиссий по открытию в постоянную эксплуатацию ж/д путей общего пользования на основании подготовленной претендентом проектной документации и/или заключение о соответствии (ЗОС) построенного, реконструируемого объекта капитального строительства (ж/д путей общего или необщего пользования);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tabs>
          <w:tab w:val="left" w:pos="739"/>
        </w:tabs>
        <w:suppressAutoHyphens/>
        <w:ind w:left="61" w:firstLine="299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 наличие положительных заключений государственной экспертизы проектной документации на выполнение проектно-изыскательских работ в части проектирования инфраструктуры железнодорожного транспорта общего пользования.</w:t>
      </w:r>
    </w:p>
    <w:p w:rsidR="009A6147" w:rsidRPr="00B06397" w:rsidRDefault="009A6147" w:rsidP="009A6147">
      <w:pPr>
        <w:pStyle w:val="a4"/>
        <w:numPr>
          <w:ilvl w:val="0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Претендент, помимо документов, указанных в пункте 2.3 настоящей документации о закупке, в составе Заявки должен </w:t>
      </w:r>
      <w:proofErr w:type="gramStart"/>
      <w:r w:rsidRPr="00B06397">
        <w:rPr>
          <w:sz w:val="28"/>
          <w:szCs w:val="28"/>
        </w:rPr>
        <w:t>предоставить следующие документы</w:t>
      </w:r>
      <w:proofErr w:type="gramEnd"/>
      <w:r w:rsidRPr="00B06397">
        <w:rPr>
          <w:sz w:val="28"/>
          <w:szCs w:val="28"/>
        </w:rPr>
        <w:t>: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proofErr w:type="gramStart"/>
      <w:r w:rsidRPr="00B06397">
        <w:rPr>
          <w:sz w:val="28"/>
          <w:szCs w:val="28"/>
        </w:rPr>
        <w:t xml:space="preserve"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(электронный сервис «Прозрачный бизнес» </w:t>
      </w:r>
      <w:hyperlink r:id="rId10" w:history="1">
        <w:r w:rsidRPr="00B06397">
          <w:rPr>
            <w:rStyle w:val="afa"/>
            <w:sz w:val="28"/>
            <w:szCs w:val="28"/>
            <w:lang w:val="en-US"/>
          </w:rPr>
          <w:t>https</w:t>
        </w:r>
        <w:r w:rsidRPr="00B06397">
          <w:rPr>
            <w:rStyle w:val="afa"/>
            <w:sz w:val="28"/>
            <w:szCs w:val="28"/>
          </w:rPr>
          <w:t>://</w:t>
        </w:r>
        <w:r w:rsidRPr="00B06397">
          <w:rPr>
            <w:rStyle w:val="afa"/>
            <w:sz w:val="28"/>
            <w:szCs w:val="28"/>
            <w:lang w:val="en-US"/>
          </w:rPr>
          <w:t>pb</w:t>
        </w:r>
        <w:r w:rsidRPr="00B06397">
          <w:rPr>
            <w:rStyle w:val="afa"/>
            <w:sz w:val="28"/>
            <w:szCs w:val="28"/>
          </w:rPr>
          <w:t>.</w:t>
        </w:r>
        <w:r w:rsidRPr="00B06397">
          <w:rPr>
            <w:rStyle w:val="afa"/>
            <w:sz w:val="28"/>
            <w:szCs w:val="28"/>
            <w:lang w:val="en-US"/>
          </w:rPr>
          <w:t>nalog</w:t>
        </w:r>
        <w:r w:rsidRPr="00B06397">
          <w:rPr>
            <w:rStyle w:val="afa"/>
            <w:sz w:val="28"/>
            <w:szCs w:val="28"/>
          </w:rPr>
          <w:t>.</w:t>
        </w:r>
        <w:r w:rsidRPr="00B06397">
          <w:rPr>
            <w:rStyle w:val="afa"/>
            <w:sz w:val="28"/>
            <w:szCs w:val="28"/>
            <w:lang w:val="en-US"/>
          </w:rPr>
          <w:t>ru</w:t>
        </w:r>
      </w:hyperlink>
      <w:r w:rsidRPr="00B06397">
        <w:rPr>
          <w:sz w:val="28"/>
          <w:szCs w:val="28"/>
        </w:rPr>
        <w:t>).</w:t>
      </w:r>
      <w:proofErr w:type="gramEnd"/>
      <w:r w:rsidRPr="00B06397">
        <w:rPr>
          <w:sz w:val="28"/>
          <w:szCs w:val="28"/>
        </w:rPr>
        <w:t xml:space="preserve"> В случае </w:t>
      </w:r>
      <w:r w:rsidRPr="00B06397">
        <w:rPr>
          <w:sz w:val="28"/>
          <w:szCs w:val="28"/>
        </w:rPr>
        <w:lastRenderedPageBreak/>
        <w:t>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(электронный сервис «Прозрачный бизнес» разделы со «сведениями о задолженности по уплате налогов и сведения о непредставлении налоговой отчетности более года» (</w:t>
      </w:r>
      <w:hyperlink r:id="rId11" w:history="1">
        <w:r w:rsidRPr="00B06397">
          <w:rPr>
            <w:rStyle w:val="afa"/>
            <w:sz w:val="28"/>
            <w:szCs w:val="28"/>
            <w:lang w:val="en-US"/>
          </w:rPr>
          <w:t>https</w:t>
        </w:r>
        <w:r w:rsidRPr="00B06397">
          <w:rPr>
            <w:rStyle w:val="afa"/>
            <w:sz w:val="28"/>
            <w:szCs w:val="28"/>
          </w:rPr>
          <w:t>://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pb</w:t>
        </w:r>
        <w:proofErr w:type="spellEnd"/>
        <w:r w:rsidRPr="00B06397">
          <w:rPr>
            <w:rStyle w:val="afa"/>
            <w:sz w:val="28"/>
            <w:szCs w:val="28"/>
          </w:rPr>
          <w:t>.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nalog</w:t>
        </w:r>
        <w:proofErr w:type="spellEnd"/>
        <w:r w:rsidRPr="00B06397">
          <w:rPr>
            <w:rStyle w:val="afa"/>
            <w:sz w:val="28"/>
            <w:szCs w:val="28"/>
          </w:rPr>
          <w:t>.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ru</w:t>
        </w:r>
        <w:proofErr w:type="spellEnd"/>
      </w:hyperlink>
      <w:r w:rsidRPr="00B06397">
        <w:rPr>
          <w:sz w:val="28"/>
          <w:szCs w:val="28"/>
        </w:rPr>
        <w:t xml:space="preserve">);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proofErr w:type="gramStart"/>
      <w:r w:rsidRPr="00B06397">
        <w:rPr>
          <w:sz w:val="28"/>
          <w:szCs w:val="28"/>
        </w:rPr>
        <w:t xml:space="preserve">в подтверждение соответствия требованиям, установленным частью «а» пункта 2.1 документации о закупке и частью 1 настоящего пункта Информационной карты, отсутствия административных производств, в том числе о </w:t>
      </w:r>
      <w:proofErr w:type="spellStart"/>
      <w:r w:rsidRPr="00B06397">
        <w:rPr>
          <w:sz w:val="28"/>
          <w:szCs w:val="28"/>
        </w:rPr>
        <w:t>неприостановлении</w:t>
      </w:r>
      <w:proofErr w:type="spellEnd"/>
      <w:r w:rsidRPr="00B06397">
        <w:rPr>
          <w:sz w:val="28"/>
          <w:szCs w:val="28"/>
        </w:rPr>
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</w:r>
      <w:hyperlink r:id="rId12" w:history="1">
        <w:r w:rsidRPr="00B06397">
          <w:rPr>
            <w:rStyle w:val="afa"/>
            <w:sz w:val="28"/>
            <w:szCs w:val="28"/>
            <w:lang w:val="en-US"/>
          </w:rPr>
          <w:t>http</w:t>
        </w:r>
        <w:r w:rsidRPr="00B06397">
          <w:rPr>
            <w:rStyle w:val="afa"/>
            <w:sz w:val="28"/>
            <w:szCs w:val="28"/>
          </w:rPr>
          <w:t>://</w:t>
        </w:r>
        <w:r w:rsidRPr="00B06397">
          <w:rPr>
            <w:rStyle w:val="afa"/>
            <w:sz w:val="28"/>
            <w:szCs w:val="28"/>
            <w:lang w:val="en-US"/>
          </w:rPr>
          <w:t>fssprus</w:t>
        </w:r>
        <w:r w:rsidRPr="00B06397">
          <w:rPr>
            <w:rStyle w:val="afa"/>
            <w:sz w:val="28"/>
            <w:szCs w:val="28"/>
          </w:rPr>
          <w:t>.</w:t>
        </w:r>
        <w:r w:rsidRPr="00B06397">
          <w:rPr>
            <w:rStyle w:val="afa"/>
            <w:sz w:val="28"/>
            <w:szCs w:val="28"/>
            <w:lang w:val="en-US"/>
          </w:rPr>
          <w:t>ru</w:t>
        </w:r>
        <w:r w:rsidRPr="00B06397">
          <w:rPr>
            <w:rStyle w:val="afa"/>
            <w:sz w:val="28"/>
            <w:szCs w:val="28"/>
          </w:rPr>
          <w:t>/</w:t>
        </w:r>
        <w:r w:rsidRPr="00B06397">
          <w:rPr>
            <w:rStyle w:val="afa"/>
            <w:sz w:val="28"/>
            <w:szCs w:val="28"/>
            <w:lang w:val="en-US"/>
          </w:rPr>
          <w:t>iss</w:t>
        </w:r>
        <w:r w:rsidRPr="00B06397">
          <w:rPr>
            <w:rStyle w:val="afa"/>
            <w:sz w:val="28"/>
            <w:szCs w:val="28"/>
          </w:rPr>
          <w:t>/</w:t>
        </w:r>
        <w:r w:rsidRPr="00B06397">
          <w:rPr>
            <w:rStyle w:val="afa"/>
            <w:sz w:val="28"/>
            <w:szCs w:val="28"/>
            <w:lang w:val="en-US"/>
          </w:rPr>
          <w:t>ip</w:t>
        </w:r>
      </w:hyperlink>
      <w:r w:rsidRPr="00B06397">
        <w:rPr>
          <w:sz w:val="28"/>
          <w:szCs w:val="28"/>
        </w:rPr>
        <w:t>), а</w:t>
      </w:r>
      <w:proofErr w:type="gramEnd"/>
      <w:r w:rsidRPr="00B06397">
        <w:rPr>
          <w:sz w:val="28"/>
          <w:szCs w:val="28"/>
        </w:rPr>
        <w:t xml:space="preserve"> </w:t>
      </w:r>
      <w:proofErr w:type="gramStart"/>
      <w:r w:rsidRPr="00B06397">
        <w:rPr>
          <w:sz w:val="28"/>
          <w:szCs w:val="28"/>
        </w:rPr>
        <w:t xml:space="preserve">также информации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</w:r>
      <w:hyperlink r:id="rId13" w:history="1">
        <w:proofErr w:type="gramEnd"/>
        <w:r w:rsidRPr="00B06397">
          <w:rPr>
            <w:rStyle w:val="afa"/>
            <w:sz w:val="28"/>
            <w:szCs w:val="28"/>
            <w:lang w:val="en-US"/>
          </w:rPr>
          <w:t>http</w:t>
        </w:r>
        <w:r w:rsidRPr="00B06397">
          <w:rPr>
            <w:rStyle w:val="afa"/>
            <w:sz w:val="28"/>
            <w:szCs w:val="28"/>
          </w:rPr>
          <w:t>://</w:t>
        </w:r>
        <w:r w:rsidRPr="00B06397">
          <w:rPr>
            <w:rStyle w:val="afa"/>
            <w:sz w:val="28"/>
            <w:szCs w:val="28"/>
            <w:lang w:val="en-US"/>
          </w:rPr>
          <w:t>www</w:t>
        </w:r>
        <w:r w:rsidRPr="00B06397">
          <w:rPr>
            <w:rStyle w:val="afa"/>
            <w:sz w:val="28"/>
            <w:szCs w:val="28"/>
          </w:rPr>
          <w:t>.</w:t>
        </w:r>
        <w:r w:rsidRPr="00B06397">
          <w:rPr>
            <w:rStyle w:val="afa"/>
            <w:sz w:val="28"/>
            <w:szCs w:val="28"/>
            <w:lang w:val="en-US"/>
          </w:rPr>
          <w:t>fedresurs</w:t>
        </w:r>
        <w:r w:rsidRPr="00B06397">
          <w:rPr>
            <w:rStyle w:val="afa"/>
            <w:sz w:val="28"/>
            <w:szCs w:val="28"/>
          </w:rPr>
          <w:t>.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B06397">
        <w:rPr>
          <w:sz w:val="28"/>
          <w:szCs w:val="28"/>
        </w:rPr>
        <w:t>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</w:t>
      </w:r>
      <w:proofErr w:type="gramEnd"/>
      <w:r w:rsidRPr="00B06397">
        <w:rPr>
          <w:sz w:val="28"/>
          <w:szCs w:val="28"/>
        </w:rPr>
        <w:t xml:space="preserve">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</w:r>
      <w:proofErr w:type="spellStart"/>
      <w:r w:rsidRPr="00B06397">
        <w:rPr>
          <w:sz w:val="28"/>
          <w:szCs w:val="28"/>
        </w:rPr>
        <w:t>неприостановлении</w:t>
      </w:r>
      <w:proofErr w:type="spellEnd"/>
      <w:r w:rsidRPr="00B06397">
        <w:rPr>
          <w:sz w:val="28"/>
          <w:szCs w:val="28"/>
        </w:rPr>
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(«поиск сведений»);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годовая бухгалтерская (финансовая) отчетность, а именно: бухгалтерские балансы и отчеты о финансовых результатах за 2023 и 2024 финансовых года.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отчетность, пояснительное письмо от претендента с указанием причины ее отсутствия (предоставляется копия документа от претендента и от субподрядной организации в случае ее привлечения);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документ по форме приложения № 4 к документации о </w:t>
      </w:r>
      <w:proofErr w:type="gramStart"/>
      <w:r w:rsidRPr="00B06397">
        <w:rPr>
          <w:sz w:val="28"/>
          <w:szCs w:val="28"/>
        </w:rPr>
        <w:t>закупке</w:t>
      </w:r>
      <w:proofErr w:type="gramEnd"/>
      <w:r w:rsidRPr="00B06397">
        <w:rPr>
          <w:sz w:val="28"/>
          <w:szCs w:val="28"/>
        </w:rPr>
        <w:t xml:space="preserve"> о наличии опыта выполнения работ, указанного в подпункте 1.3 части 1 пункта 17 Информационной карты;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lastRenderedPageBreak/>
        <w:t xml:space="preserve">копии договоров, указанных в документе по форме приложения № 4 к документации о </w:t>
      </w:r>
      <w:proofErr w:type="gramStart"/>
      <w:r w:rsidRPr="00B06397">
        <w:rPr>
          <w:sz w:val="28"/>
          <w:szCs w:val="28"/>
        </w:rPr>
        <w:t>закупке</w:t>
      </w:r>
      <w:proofErr w:type="gramEnd"/>
      <w:r w:rsidRPr="00B06397">
        <w:rPr>
          <w:sz w:val="28"/>
          <w:szCs w:val="28"/>
        </w:rPr>
        <w:t xml:space="preserve"> о наличии опыта выполнения работ;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копии документов, подтверждающих факт выполнения работ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действующую на дату рассмотрения, оценки и сопоставления Заявок выписку из реестра членов саморегулируемой организации в области архитектурно-строительного проектирования, выданную указанной саморегулируемой организацией (срок действия выписки из реестра членов СРО один месяц </w:t>
      </w:r>
      <w:proofErr w:type="gramStart"/>
      <w:r w:rsidRPr="00B06397">
        <w:rPr>
          <w:sz w:val="28"/>
          <w:szCs w:val="28"/>
        </w:rPr>
        <w:t>с даты</w:t>
      </w:r>
      <w:proofErr w:type="gramEnd"/>
      <w:r w:rsidRPr="00B06397">
        <w:rPr>
          <w:sz w:val="28"/>
          <w:szCs w:val="28"/>
        </w:rPr>
        <w:t xml:space="preserve"> ее выдачи);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действующую на дату рассмотрения, оценки и сопоставление Заявок выписку из реестра членов саморегулируемой организации в области инженерных изысканий, выданную указанной саморегулируемой организацией (срок действия выписки из реестра членов СРО один месяц </w:t>
      </w:r>
      <w:proofErr w:type="gramStart"/>
      <w:r w:rsidRPr="00B06397">
        <w:rPr>
          <w:sz w:val="28"/>
          <w:szCs w:val="28"/>
        </w:rPr>
        <w:t>с даты</w:t>
      </w:r>
      <w:proofErr w:type="gramEnd"/>
      <w:r w:rsidRPr="00B06397">
        <w:rPr>
          <w:sz w:val="28"/>
          <w:szCs w:val="28"/>
        </w:rPr>
        <w:t xml:space="preserve"> ее выдачи). </w:t>
      </w:r>
    </w:p>
    <w:p w:rsidR="009A6147" w:rsidRPr="00B06397" w:rsidRDefault="009A6147" w:rsidP="009A6147">
      <w:pPr>
        <w:ind w:firstLine="397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Данный документ является обязательным для претендента/участника, в случае выполнения инженерных изысканий своими силами без привлечения субподрядных организаций, и при его отсутствии заявка претендента подлежит отклонению. В случае привлечения субподрядных организаций претендентом/участником согласно документу по форме приложения № 6 к документации о закупке, предоставляются выписки из реестра членов СРО на каждую субподрядную организацию. В случае если на момент подачи Заявок субподрядная организация не определена, то претендент обязан предоставить гарантийное письмо о том, что к работам будет привлечена субподрядная организация, отвечающая требованиям, указанным в подпункте 1.5 настоящего пункта;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Организатором на день рассмотрения Заявок на официальном сайте НОПРИЗ:/ </w:t>
      </w:r>
      <w:hyperlink r:id="rId14" w:history="1">
        <w:r w:rsidRPr="00B06397">
          <w:rPr>
            <w:rStyle w:val="afa"/>
            <w:sz w:val="28"/>
            <w:szCs w:val="28"/>
            <w:lang w:val="en-US"/>
          </w:rPr>
          <w:t>https</w:t>
        </w:r>
        <w:r w:rsidRPr="00B06397">
          <w:rPr>
            <w:rStyle w:val="afa"/>
            <w:sz w:val="28"/>
            <w:szCs w:val="28"/>
          </w:rPr>
          <w:t>://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reestr</w:t>
        </w:r>
        <w:proofErr w:type="spellEnd"/>
        <w:r w:rsidRPr="00B06397">
          <w:rPr>
            <w:rStyle w:val="afa"/>
            <w:sz w:val="28"/>
            <w:szCs w:val="28"/>
          </w:rPr>
          <w:t>.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nopriz</w:t>
        </w:r>
        <w:proofErr w:type="spellEnd"/>
        <w:r w:rsidRPr="00B06397">
          <w:rPr>
            <w:rStyle w:val="afa"/>
            <w:sz w:val="28"/>
            <w:szCs w:val="28"/>
          </w:rPr>
          <w:t>.</w:t>
        </w:r>
        <w:proofErr w:type="spellStart"/>
        <w:r w:rsidRPr="00B06397">
          <w:rPr>
            <w:rStyle w:val="afa"/>
            <w:sz w:val="28"/>
            <w:szCs w:val="28"/>
            <w:lang w:val="en-US"/>
          </w:rPr>
          <w:t>ru</w:t>
        </w:r>
        <w:proofErr w:type="spellEnd"/>
        <w:r w:rsidRPr="00B06397">
          <w:rPr>
            <w:rStyle w:val="afa"/>
            <w:sz w:val="28"/>
            <w:szCs w:val="28"/>
          </w:rPr>
          <w:t>//</w:t>
        </w:r>
      </w:hyperlink>
      <w:r w:rsidRPr="00B06397">
        <w:rPr>
          <w:sz w:val="28"/>
          <w:szCs w:val="28"/>
        </w:rPr>
        <w:t xml:space="preserve"> проверяется информация о соответствии претендента/субподрядчика и саморегулируемых организаций (СРО) требованиям, установленным подпунктами 1.4 и 1.5 настоящего пункта, а на сайте СРО - информация о членах СРО. В случае несоответствия претендента/участника или СРО установленным требованиям, или несоответствие представленных претендентом сведений информации, содержащейся на указанном в настоящем подпункте сайте, заявка претендента подлежит отклонению;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97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сведения о планируемых к привлечению субподрядных организациях по форме приложения № 6 к документации о закупке (предоставляется претендентом в случае привлечения субподрядчиков);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60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в подтверждение соответствия требованиям, указанным в подпункте 1.8 пункта 17 настоящей Информационной карты, претендент предоставляет указанные в документе по форме приложения № 4 к документации о </w:t>
      </w:r>
      <w:proofErr w:type="gramStart"/>
      <w:r w:rsidRPr="00B06397">
        <w:rPr>
          <w:sz w:val="28"/>
          <w:szCs w:val="28"/>
        </w:rPr>
        <w:t>закупке</w:t>
      </w:r>
      <w:proofErr w:type="gramEnd"/>
      <w:r w:rsidRPr="00B06397">
        <w:rPr>
          <w:sz w:val="28"/>
          <w:szCs w:val="28"/>
        </w:rPr>
        <w:t xml:space="preserve"> о наличии опыта выполнения работ копии актов государственных приемочных комиссий по открытию в постоянную эксплуатацию ж/д путей общего пользования на основании подготовленной претендентом проектной документации и/или копии заключений о соответствии построенного, реконструированного на основании подготовленной претендентом проектной </w:t>
      </w:r>
      <w:r w:rsidRPr="00B06397">
        <w:rPr>
          <w:sz w:val="28"/>
          <w:szCs w:val="28"/>
        </w:rPr>
        <w:lastRenderedPageBreak/>
        <w:t xml:space="preserve">документации объекта капитального строительства (ж/д путей общего или необщего пользования). </w:t>
      </w:r>
    </w:p>
    <w:p w:rsidR="009A6147" w:rsidRPr="00B06397" w:rsidRDefault="009A6147" w:rsidP="009A6147">
      <w:pPr>
        <w:pStyle w:val="a4"/>
        <w:numPr>
          <w:ilvl w:val="1"/>
          <w:numId w:val="2"/>
        </w:numPr>
        <w:suppressAutoHyphens/>
        <w:ind w:left="0" w:firstLine="360"/>
        <w:contextualSpacing w:val="0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в подтверждение требований, указанных в подпункте 1.9 пункта 17 настоящей Информационной карты, претендент предоставляет копии экспертизы проектной документации с указанием ссылки на сайте ГИС Единый государственный реестр заключений (</w:t>
      </w:r>
      <w:hyperlink r:id="rId15" w:history="1">
        <w:r w:rsidRPr="00B06397">
          <w:rPr>
            <w:rStyle w:val="afa"/>
            <w:sz w:val="28"/>
            <w:szCs w:val="28"/>
          </w:rPr>
          <w:t>https://egrz.ru/</w:t>
        </w:r>
      </w:hyperlink>
      <w:r w:rsidRPr="00B06397">
        <w:rPr>
          <w:sz w:val="28"/>
          <w:szCs w:val="28"/>
        </w:rPr>
        <w:t>) по договорам с предметом «выполнение проектно-изыскательских работ в части проектирования инфраструктуры железнодорожного транспорта общего и необщего пользования»;</w:t>
      </w:r>
    </w:p>
    <w:p w:rsidR="009A6147" w:rsidRPr="00B06397" w:rsidRDefault="009A6147" w:rsidP="009A6147">
      <w:pPr>
        <w:tabs>
          <w:tab w:val="left" w:pos="739"/>
        </w:tabs>
        <w:suppressAutoHyphens/>
        <w:jc w:val="both"/>
        <w:rPr>
          <w:sz w:val="28"/>
          <w:szCs w:val="28"/>
        </w:rPr>
      </w:pPr>
      <w:r w:rsidRPr="00B06397">
        <w:rPr>
          <w:sz w:val="28"/>
          <w:szCs w:val="28"/>
        </w:rPr>
        <w:t>Организатором на день рассмотрения Заявок на сайте ГИС Единый государственный реестр заключений (</w:t>
      </w:r>
      <w:hyperlink r:id="rId16" w:history="1">
        <w:r w:rsidRPr="00B06397">
          <w:rPr>
            <w:rStyle w:val="afa"/>
            <w:sz w:val="28"/>
            <w:szCs w:val="28"/>
          </w:rPr>
          <w:t>https://egrz.ru/</w:t>
        </w:r>
      </w:hyperlink>
      <w:r w:rsidRPr="00B06397">
        <w:rPr>
          <w:sz w:val="28"/>
          <w:szCs w:val="28"/>
        </w:rPr>
        <w:t>) проверяется информация о наличии полученных претендентом положительных заключений экспертизы.</w:t>
      </w:r>
    </w:p>
    <w:p w:rsidR="00105320" w:rsidRPr="00B06397" w:rsidRDefault="00105320" w:rsidP="009A6147">
      <w:pPr>
        <w:tabs>
          <w:tab w:val="left" w:pos="739"/>
        </w:tabs>
        <w:suppressAutoHyphens/>
        <w:jc w:val="both"/>
        <w:rPr>
          <w:sz w:val="28"/>
          <w:szCs w:val="28"/>
        </w:rPr>
      </w:pPr>
      <w:r w:rsidRPr="00B06397">
        <w:rPr>
          <w:sz w:val="28"/>
          <w:szCs w:val="28"/>
        </w:rPr>
        <w:tab/>
        <w:t xml:space="preserve">1.3. </w:t>
      </w:r>
      <w:r w:rsidRPr="00B06397">
        <w:rPr>
          <w:rFonts w:ascii="Times New Roman" w:hAnsi="Times New Roman" w:cs="Times New Roman"/>
          <w:sz w:val="28"/>
          <w:szCs w:val="28"/>
        </w:rPr>
        <w:t>п</w:t>
      </w:r>
      <w:r w:rsidRPr="00B06397">
        <w:rPr>
          <w:sz w:val="28"/>
          <w:szCs w:val="28"/>
        </w:rPr>
        <w:t>ункт 19 раздела 5 «Информационная карта» изложить в следующей редакции:</w:t>
      </w:r>
    </w:p>
    <w:tbl>
      <w:tblPr>
        <w:tblStyle w:val="afb"/>
        <w:tblW w:w="8753" w:type="dxa"/>
        <w:jc w:val="center"/>
        <w:tblInd w:w="-1779" w:type="dxa"/>
        <w:tblLayout w:type="fixed"/>
        <w:tblLook w:val="04A0" w:firstRow="1" w:lastRow="0" w:firstColumn="1" w:lastColumn="0" w:noHBand="0" w:noVBand="1"/>
      </w:tblPr>
      <w:tblGrid>
        <w:gridCol w:w="6202"/>
        <w:gridCol w:w="2551"/>
      </w:tblGrid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b/>
                <w:sz w:val="24"/>
                <w:szCs w:val="24"/>
              </w:rPr>
            </w:pPr>
            <w:proofErr w:type="spellStart"/>
            <w:r w:rsidRPr="00B06397">
              <w:rPr>
                <w:b/>
                <w:sz w:val="24"/>
                <w:szCs w:val="24"/>
              </w:rPr>
              <w:t>Критерий</w:t>
            </w:r>
            <w:proofErr w:type="spellEnd"/>
            <w:r w:rsidRPr="00B063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06397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b/>
                <w:sz w:val="24"/>
                <w:szCs w:val="24"/>
              </w:rPr>
            </w:pPr>
            <w:proofErr w:type="spellStart"/>
            <w:r w:rsidRPr="00B06397">
              <w:rPr>
                <w:b/>
                <w:sz w:val="24"/>
                <w:szCs w:val="24"/>
              </w:rPr>
              <w:t>Значение</w:t>
            </w:r>
            <w:proofErr w:type="spellEnd"/>
            <w:r w:rsidRPr="00B0639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06397">
              <w:rPr>
                <w:b/>
                <w:sz w:val="24"/>
                <w:szCs w:val="24"/>
              </w:rPr>
              <w:t>Кз</w:t>
            </w:r>
            <w:proofErr w:type="spellEnd"/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b/>
                <w:sz w:val="24"/>
                <w:szCs w:val="24"/>
                <w:lang w:val="ru-RU"/>
              </w:rPr>
              <w:t>Суммарная стоимость по Договору 1 и Договору 2</w:t>
            </w:r>
            <w:r w:rsidRPr="00B06397">
              <w:rPr>
                <w:sz w:val="24"/>
                <w:szCs w:val="24"/>
                <w:lang w:val="ru-RU"/>
              </w:rPr>
              <w:t xml:space="preserve">. </w:t>
            </w:r>
          </w:p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 xml:space="preserve">Оценивается сумма, указанная участником в строке «ВСЕГО по Проекту 1 и Проекту 2» в Финансово-коммерческом предложении. </w:t>
            </w:r>
          </w:p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 xml:space="preserve">Наилучшим признается наименьшая цена, предложенная участником.  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en-US"/>
              </w:rPr>
            </w:pPr>
            <w:r w:rsidRPr="00B06397">
              <w:rPr>
                <w:sz w:val="24"/>
                <w:szCs w:val="24"/>
                <w:lang w:val="en-US"/>
              </w:rPr>
              <w:t>0,45</w:t>
            </w:r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b/>
                <w:sz w:val="24"/>
                <w:szCs w:val="24"/>
                <w:lang w:val="ru-RU"/>
              </w:rPr>
            </w:pPr>
            <w:r w:rsidRPr="00B06397">
              <w:rPr>
                <w:b/>
                <w:sz w:val="24"/>
                <w:szCs w:val="24"/>
                <w:lang w:val="ru-RU"/>
              </w:rPr>
              <w:t xml:space="preserve">Опыт участника. </w:t>
            </w:r>
          </w:p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>Оценивается объем выручки участника за 2023-2024 годы согласно бухгалтерской (финансовой) отчетности.</w:t>
            </w:r>
          </w:p>
          <w:p w:rsidR="00370A48" w:rsidRPr="00B06397" w:rsidRDefault="00370A48" w:rsidP="0038162F">
            <w:pPr>
              <w:pStyle w:val="aff3"/>
              <w:rPr>
                <w:b/>
                <w:sz w:val="24"/>
                <w:szCs w:val="24"/>
                <w:lang w:val="ru-RU"/>
              </w:rPr>
            </w:pPr>
          </w:p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>Наилучшим признается наибольший объем выручки.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en-US"/>
              </w:rPr>
            </w:pPr>
            <w:r w:rsidRPr="00B06397">
              <w:rPr>
                <w:sz w:val="24"/>
                <w:szCs w:val="24"/>
                <w:lang w:val="en-US"/>
              </w:rPr>
              <w:t>0,10</w:t>
            </w:r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b/>
                <w:sz w:val="24"/>
                <w:szCs w:val="24"/>
                <w:lang w:val="ru-RU"/>
              </w:rPr>
              <w:t>Количество положительных актов</w:t>
            </w:r>
            <w:r w:rsidRPr="00B06397">
              <w:rPr>
                <w:sz w:val="24"/>
                <w:szCs w:val="24"/>
                <w:lang w:val="ru-RU"/>
              </w:rPr>
              <w:t xml:space="preserve"> государственных приемочных комиссий по открытию в постоянную эксплуатацию ж/д путей общего пользования на основании подготовленной претендентом проектной документации и/или заключение о соответствии (ЗОС) построенного, реконструируемого объекта капитального строительства (ж/д путей общего или необщего пользования).</w:t>
            </w:r>
          </w:p>
          <w:p w:rsidR="00370A48" w:rsidRPr="00B06397" w:rsidRDefault="00370A48" w:rsidP="0038162F">
            <w:pPr>
              <w:pStyle w:val="aff"/>
              <w:jc w:val="both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 xml:space="preserve">Наилучшим признается наибольшее количество полученных документов, представленных в соответствии с </w:t>
            </w:r>
            <w:proofErr w:type="spellStart"/>
            <w:r w:rsidRPr="00B06397">
              <w:rPr>
                <w:sz w:val="24"/>
                <w:szCs w:val="24"/>
                <w:lang w:val="ru-RU"/>
              </w:rPr>
              <w:t>пп</w:t>
            </w:r>
            <w:proofErr w:type="spellEnd"/>
            <w:r w:rsidRPr="00B06397">
              <w:rPr>
                <w:sz w:val="24"/>
                <w:szCs w:val="24"/>
                <w:lang w:val="ru-RU"/>
              </w:rPr>
              <w:t>. 2.12 пункта 17 Информационной карты.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en-US"/>
              </w:rPr>
            </w:pPr>
            <w:r w:rsidRPr="00B06397">
              <w:rPr>
                <w:sz w:val="24"/>
                <w:szCs w:val="24"/>
                <w:lang w:val="en-US"/>
              </w:rPr>
              <w:t>0,10</w:t>
            </w:r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tabs>
                <w:tab w:val="left" w:pos="739"/>
              </w:tabs>
              <w:jc w:val="both"/>
              <w:rPr>
                <w:lang w:val="ru-RU"/>
              </w:rPr>
            </w:pPr>
            <w:r w:rsidRPr="00B06397">
              <w:rPr>
                <w:b/>
                <w:lang w:val="ru-RU"/>
              </w:rPr>
              <w:t>Количество полученных положительных заключений экспертизы</w:t>
            </w:r>
            <w:r w:rsidRPr="00B06397">
              <w:rPr>
                <w:lang w:val="ru-RU"/>
              </w:rPr>
              <w:t xml:space="preserve"> проектной документации на выполнение проектно-изыскательских работ в части проектирования инфраструктуры железнодорожного транспорта общего пользования.</w:t>
            </w:r>
          </w:p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 xml:space="preserve">Наилучшим признается наибольшее количество полученных документов, представленных в соответствии с </w:t>
            </w:r>
            <w:proofErr w:type="spellStart"/>
            <w:r w:rsidRPr="00B06397">
              <w:rPr>
                <w:sz w:val="24"/>
                <w:szCs w:val="24"/>
                <w:lang w:val="ru-RU"/>
              </w:rPr>
              <w:t>пп</w:t>
            </w:r>
            <w:proofErr w:type="spellEnd"/>
            <w:r w:rsidRPr="00B06397">
              <w:rPr>
                <w:sz w:val="24"/>
                <w:szCs w:val="24"/>
                <w:lang w:val="ru-RU"/>
              </w:rPr>
              <w:t xml:space="preserve">. 2.13 пункта 17 Информационной карты. При этом положительные заключения экспертизы, представленные по разным разделам одной и той же проектной документации, считаются как одно заключение. 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en-US"/>
              </w:rPr>
            </w:pPr>
            <w:r w:rsidRPr="00B06397">
              <w:rPr>
                <w:sz w:val="24"/>
                <w:szCs w:val="24"/>
                <w:lang w:val="en-US"/>
              </w:rPr>
              <w:t>0,15</w:t>
            </w:r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 xml:space="preserve">Срок выполнения работ по Договору 1 Наилучшим признается наименьшее значение.  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en-US"/>
              </w:rPr>
            </w:pPr>
            <w:r w:rsidRPr="00B06397">
              <w:rPr>
                <w:sz w:val="24"/>
                <w:szCs w:val="24"/>
                <w:lang w:val="en-US"/>
              </w:rPr>
              <w:t>0,05</w:t>
            </w:r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 xml:space="preserve">Срок выполнения работ по Договору 2 Наилучшим признается наименьшее значение 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en-US"/>
              </w:rPr>
            </w:pPr>
            <w:r w:rsidRPr="00B06397">
              <w:rPr>
                <w:sz w:val="24"/>
                <w:szCs w:val="24"/>
                <w:lang w:val="en-US"/>
              </w:rPr>
              <w:t>0,05</w:t>
            </w:r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t xml:space="preserve">Размер аванса по Договору 1. Наилучшим признается </w:t>
            </w:r>
            <w:r w:rsidRPr="00B06397">
              <w:rPr>
                <w:sz w:val="24"/>
                <w:szCs w:val="24"/>
                <w:lang w:val="ru-RU"/>
              </w:rPr>
              <w:lastRenderedPageBreak/>
              <w:t xml:space="preserve">наименьшее значение 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</w:rPr>
            </w:pPr>
            <w:r w:rsidRPr="00B06397">
              <w:rPr>
                <w:sz w:val="24"/>
                <w:szCs w:val="24"/>
                <w:lang w:val="en-US"/>
              </w:rPr>
              <w:lastRenderedPageBreak/>
              <w:t>0,</w:t>
            </w:r>
            <w:r w:rsidRPr="00B06397">
              <w:rPr>
                <w:sz w:val="24"/>
                <w:szCs w:val="24"/>
              </w:rPr>
              <w:t>05</w:t>
            </w:r>
          </w:p>
        </w:tc>
      </w:tr>
      <w:tr w:rsidR="00370A48" w:rsidRPr="00B06397" w:rsidTr="00B06397">
        <w:trPr>
          <w:jc w:val="center"/>
        </w:trPr>
        <w:tc>
          <w:tcPr>
            <w:tcW w:w="6202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  <w:lang w:val="ru-RU"/>
              </w:rPr>
            </w:pPr>
            <w:r w:rsidRPr="00B06397">
              <w:rPr>
                <w:sz w:val="24"/>
                <w:szCs w:val="24"/>
                <w:lang w:val="ru-RU"/>
              </w:rPr>
              <w:lastRenderedPageBreak/>
              <w:t>Размер аванса по Договору 2. Наилучшим признается наименьшее значение</w:t>
            </w:r>
          </w:p>
        </w:tc>
        <w:tc>
          <w:tcPr>
            <w:tcW w:w="2551" w:type="dxa"/>
          </w:tcPr>
          <w:p w:rsidR="00370A48" w:rsidRPr="00B06397" w:rsidRDefault="00370A48" w:rsidP="0038162F">
            <w:pPr>
              <w:pStyle w:val="aff3"/>
              <w:rPr>
                <w:sz w:val="24"/>
                <w:szCs w:val="24"/>
              </w:rPr>
            </w:pPr>
            <w:r w:rsidRPr="00B06397">
              <w:rPr>
                <w:sz w:val="24"/>
                <w:szCs w:val="24"/>
              </w:rPr>
              <w:t>0,05</w:t>
            </w:r>
          </w:p>
        </w:tc>
      </w:tr>
    </w:tbl>
    <w:p w:rsidR="00105320" w:rsidRPr="00B06397" w:rsidRDefault="00105320" w:rsidP="009A6147">
      <w:pPr>
        <w:tabs>
          <w:tab w:val="left" w:pos="739"/>
        </w:tabs>
        <w:suppressAutoHyphens/>
        <w:jc w:val="both"/>
        <w:rPr>
          <w:sz w:val="28"/>
          <w:szCs w:val="28"/>
        </w:rPr>
      </w:pPr>
    </w:p>
    <w:p w:rsidR="00370A48" w:rsidRPr="00B06397" w:rsidRDefault="00370A48" w:rsidP="00B06397">
      <w:pPr>
        <w:tabs>
          <w:tab w:val="left" w:pos="142"/>
        </w:tabs>
        <w:ind w:firstLine="851"/>
        <w:jc w:val="both"/>
        <w:rPr>
          <w:sz w:val="28"/>
          <w:szCs w:val="28"/>
          <w:lang w:eastAsia="ru-RU"/>
        </w:rPr>
      </w:pPr>
      <w:r w:rsidRPr="00B06397">
        <w:rPr>
          <w:sz w:val="28"/>
          <w:szCs w:val="28"/>
        </w:rPr>
        <w:t xml:space="preserve">1.4. абзац 1 подпункта 6 пункта 24 раздела 5 «Информационная карта» изложить в следующей редакции: </w:t>
      </w:r>
      <w:r w:rsidRPr="00B06397">
        <w:rPr>
          <w:sz w:val="28"/>
          <w:szCs w:val="28"/>
          <w:lang w:eastAsia="ru-RU"/>
        </w:rPr>
        <w:t>Срок действия банковской гарантии должен превышать срок действия договора, заключаемого по итогам Открытого конкурса, не менее чем на</w:t>
      </w:r>
      <w:r w:rsidRPr="00B06397">
        <w:rPr>
          <w:color w:val="000000" w:themeColor="text1"/>
          <w:sz w:val="28"/>
          <w:szCs w:val="28"/>
          <w:lang w:eastAsia="ru-RU"/>
        </w:rPr>
        <w:t xml:space="preserve"> три </w:t>
      </w:r>
      <w:r w:rsidRPr="00B06397">
        <w:rPr>
          <w:sz w:val="28"/>
          <w:szCs w:val="28"/>
          <w:lang w:eastAsia="ru-RU"/>
        </w:rPr>
        <w:t>месяца.</w:t>
      </w:r>
    </w:p>
    <w:p w:rsidR="00370A48" w:rsidRPr="00B06397" w:rsidRDefault="00370A48" w:rsidP="00370A48">
      <w:pPr>
        <w:tabs>
          <w:tab w:val="left" w:pos="142"/>
        </w:tabs>
        <w:ind w:firstLine="993"/>
        <w:jc w:val="both"/>
        <w:rPr>
          <w:sz w:val="28"/>
          <w:szCs w:val="28"/>
          <w:lang w:eastAsia="ru-RU"/>
        </w:rPr>
      </w:pPr>
      <w:r w:rsidRPr="00B06397">
        <w:rPr>
          <w:sz w:val="28"/>
          <w:szCs w:val="28"/>
          <w:lang w:eastAsia="ru-RU"/>
        </w:rPr>
        <w:t>А также исключить из перечня банков: ПАО Банк «ФК Открытие».</w:t>
      </w:r>
    </w:p>
    <w:p w:rsidR="00370A48" w:rsidRPr="00B06397" w:rsidRDefault="0038162F" w:rsidP="00B06397">
      <w:pPr>
        <w:tabs>
          <w:tab w:val="left" w:pos="142"/>
        </w:tabs>
        <w:ind w:firstLine="851"/>
        <w:jc w:val="both"/>
        <w:rPr>
          <w:sz w:val="28"/>
          <w:szCs w:val="28"/>
          <w:lang w:eastAsia="ru-RU"/>
        </w:rPr>
      </w:pPr>
      <w:r w:rsidRPr="00B06397">
        <w:rPr>
          <w:sz w:val="28"/>
          <w:szCs w:val="28"/>
          <w:lang w:eastAsia="ru-RU"/>
        </w:rPr>
        <w:t>1.5. таблицу в Приложении № 3 «Финансово-коммерческое предложение» дополнить строкой:</w:t>
      </w:r>
    </w:p>
    <w:tbl>
      <w:tblPr>
        <w:tblW w:w="8931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834"/>
        <w:gridCol w:w="1841"/>
        <w:gridCol w:w="3830"/>
      </w:tblGrid>
      <w:tr w:rsidR="0038162F" w:rsidRPr="00B06397" w:rsidTr="00AE2EEF">
        <w:trPr>
          <w:trHeight w:val="61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2F" w:rsidRPr="00B06397" w:rsidRDefault="0038162F" w:rsidP="00B06397">
            <w:pPr>
              <w:pStyle w:val="4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9" w:lineRule="auto"/>
              <w:ind w:firstLine="851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2F" w:rsidRPr="00B06397" w:rsidRDefault="0038162F" w:rsidP="00B06397">
            <w:pPr>
              <w:ind w:firstLine="851"/>
              <w:rPr>
                <w:color w:val="000000"/>
              </w:rPr>
            </w:pPr>
            <w:r w:rsidRPr="00B06397">
              <w:rPr>
                <w:color w:val="000000"/>
              </w:rPr>
              <w:t>ВСЕГО по Проекту 1 и Проекту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2F" w:rsidRPr="00B06397" w:rsidRDefault="0038162F" w:rsidP="00B06397">
            <w:pPr>
              <w:pStyle w:val="4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/>
              <w:ind w:firstLine="851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2F" w:rsidRPr="00B06397" w:rsidRDefault="0038162F" w:rsidP="00B06397">
            <w:pPr>
              <w:pStyle w:val="42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851"/>
              <w:rPr>
                <w:color w:val="000000" w:themeColor="text1"/>
              </w:rPr>
            </w:pPr>
          </w:p>
        </w:tc>
      </w:tr>
    </w:tbl>
    <w:p w:rsidR="0038162F" w:rsidRPr="00B06397" w:rsidRDefault="0038162F" w:rsidP="00B06397">
      <w:pPr>
        <w:tabs>
          <w:tab w:val="left" w:pos="142"/>
        </w:tabs>
        <w:ind w:firstLine="851"/>
        <w:jc w:val="both"/>
        <w:rPr>
          <w:sz w:val="28"/>
          <w:szCs w:val="28"/>
          <w:lang w:eastAsia="ru-RU"/>
        </w:rPr>
      </w:pPr>
    </w:p>
    <w:p w:rsidR="009B5B06" w:rsidRPr="00B06397" w:rsidRDefault="00B06397" w:rsidP="00B06397">
      <w:pPr>
        <w:ind w:firstLine="851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1.6. приложение № 4 «Сведения об опыте…» изложить в следующей редакции:</w:t>
      </w:r>
    </w:p>
    <w:tbl>
      <w:tblPr>
        <w:tblpPr w:leftFromText="180" w:rightFromText="180" w:vertAnchor="text" w:horzAnchor="margin" w:tblpY="1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569"/>
        <w:gridCol w:w="1417"/>
        <w:gridCol w:w="993"/>
        <w:gridCol w:w="1134"/>
        <w:gridCol w:w="992"/>
        <w:gridCol w:w="992"/>
        <w:gridCol w:w="992"/>
        <w:gridCol w:w="993"/>
        <w:gridCol w:w="1559"/>
      </w:tblGrid>
      <w:tr w:rsidR="00864BAF" w:rsidRPr="00744EEF" w:rsidTr="00864BAF">
        <w:trPr>
          <w:trHeight w:val="983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744EEF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  <w:r>
              <w:t>Дата и номер договора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  <w:r>
              <w:t>Предмет договора</w:t>
            </w:r>
            <w:r>
              <w:rPr>
                <w:i/>
                <w:sz w:val="20"/>
                <w:szCs w:val="20"/>
              </w:rPr>
              <w:t xml:space="preserve"> (указываются только договоры по предмету закупки, указанному в подпункте 1.3 пункта 17 раздела 5 «Информационная карта» документации о закупке)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  <w:r>
              <w:t xml:space="preserve">Сроки действия договора </w:t>
            </w:r>
            <w:r>
              <w:rPr>
                <w:i/>
                <w:sz w:val="20"/>
                <w:szCs w:val="20"/>
              </w:rPr>
              <w:t>(месяц/год начала и окончания, с разбивкой по годам 2022-2025)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  <w:r>
              <w:t>Наименование контрагента/ 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  <w:r>
              <w:t>Ссылка на электронную форму договора (</w:t>
            </w:r>
            <w:r>
              <w:rPr>
                <w:i/>
                <w:sz w:val="20"/>
                <w:szCs w:val="20"/>
              </w:rPr>
              <w:t>ЕИС Закупки и т.п</w:t>
            </w:r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  <w:r>
              <w:t>Цена договора, без учета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F" w:rsidRPr="004F5DBA" w:rsidRDefault="00864BAF" w:rsidP="00511BA7">
            <w:pPr>
              <w:jc w:val="center"/>
            </w:pPr>
            <w:r>
              <w:t>Сумма по документам, подтверждающим факт реализации договора, без учета НДС,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F" w:rsidRDefault="00864BAF" w:rsidP="00511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и дата утверждения заключения экспертизы,</w:t>
            </w:r>
          </w:p>
          <w:p w:rsidR="00864BAF" w:rsidRPr="00744EEF" w:rsidRDefault="00864BAF" w:rsidP="00511BA7">
            <w:pPr>
              <w:jc w:val="center"/>
            </w:pPr>
            <w:r>
              <w:rPr>
                <w:color w:val="000000"/>
              </w:rPr>
              <w:t xml:space="preserve">ссылка на сайт </w:t>
            </w:r>
            <w:r w:rsidRPr="00962383">
              <w:t xml:space="preserve"> https://egrz.ru/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AF" w:rsidRPr="00A639A7" w:rsidRDefault="00864BAF" w:rsidP="00511BA7">
            <w:pPr>
              <w:jc w:val="center"/>
              <w:rPr>
                <w:color w:val="000000"/>
                <w:sz w:val="22"/>
                <w:szCs w:val="22"/>
              </w:rPr>
            </w:pPr>
            <w:r w:rsidRPr="00A639A7">
              <w:rPr>
                <w:color w:val="000000"/>
                <w:sz w:val="22"/>
                <w:szCs w:val="22"/>
              </w:rPr>
              <w:t xml:space="preserve">Дата и номер актов </w:t>
            </w:r>
            <w:r w:rsidRPr="00A639A7">
              <w:rPr>
                <w:sz w:val="22"/>
                <w:szCs w:val="22"/>
              </w:rPr>
              <w:t xml:space="preserve"> государственных приемочных комиссий по открытию в постоянную эксплуатацию ж/д путей общего пользования</w:t>
            </w:r>
            <w:r w:rsidRPr="00A639A7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/или</w:t>
            </w:r>
            <w:r w:rsidRPr="00A639A7">
              <w:rPr>
                <w:color w:val="000000"/>
                <w:sz w:val="22"/>
                <w:szCs w:val="22"/>
              </w:rPr>
              <w:t xml:space="preserve"> </w:t>
            </w:r>
            <w:r w:rsidRPr="00A639A7">
              <w:rPr>
                <w:sz w:val="22"/>
                <w:szCs w:val="22"/>
              </w:rPr>
              <w:t xml:space="preserve"> заключений о соответствии построенного, реконструированного объекта капитального строительства</w:t>
            </w:r>
          </w:p>
        </w:tc>
      </w:tr>
      <w:tr w:rsidR="00864BAF" w:rsidRPr="00744EEF" w:rsidTr="00864BAF">
        <w:trPr>
          <w:trHeight w:val="222"/>
        </w:trPr>
        <w:tc>
          <w:tcPr>
            <w:tcW w:w="8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  <w: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r>
              <w:rPr>
                <w:sz w:val="22"/>
                <w:szCs w:val="22"/>
              </w:rPr>
              <w:t>1.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/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r>
              <w:rPr>
                <w:sz w:val="22"/>
                <w:szCs w:val="22"/>
              </w:rPr>
              <w:t>2.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/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r>
              <w:t>…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/>
        </w:tc>
      </w:tr>
      <w:tr w:rsidR="00864BAF" w:rsidRPr="00744EEF" w:rsidTr="00864BAF">
        <w:trPr>
          <w:trHeight w:val="255"/>
        </w:trPr>
        <w:tc>
          <w:tcPr>
            <w:tcW w:w="8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  <w: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t>…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8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  <w: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t>…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8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  <w: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4F5DBA" w:rsidRDefault="00864BAF" w:rsidP="00511BA7">
            <w:pPr>
              <w:jc w:val="center"/>
            </w:pPr>
            <w:r>
              <w:t>…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8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4F5DBA" w:rsidRDefault="00864BAF" w:rsidP="00511BA7">
            <w:pPr>
              <w:jc w:val="center"/>
            </w:pPr>
            <w:r>
              <w:t>Переходящие договоры (20</w:t>
            </w:r>
            <w:r>
              <w:rPr>
                <w:lang w:val="en-US"/>
              </w:rPr>
              <w:t>__</w:t>
            </w:r>
            <w:r>
              <w:t>-2025 годы)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  <w:r>
              <w:t>…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</w:p>
        </w:tc>
      </w:tr>
      <w:tr w:rsidR="00864BAF" w:rsidRPr="00744EEF" w:rsidTr="00864BAF">
        <w:trPr>
          <w:trHeight w:val="201"/>
        </w:trPr>
        <w:tc>
          <w:tcPr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jc w:val="center"/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4BAF" w:rsidRPr="00744EEF" w:rsidRDefault="00864BAF" w:rsidP="00511BA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_______указывается общая сумма по всем договорам.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_______указывается общая сумма по всем документам.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F" w:rsidRPr="00744EEF" w:rsidRDefault="00864BAF" w:rsidP="00511BA7">
            <w:pPr>
              <w:rPr>
                <w:i/>
                <w:sz w:val="20"/>
                <w:szCs w:val="20"/>
              </w:rPr>
            </w:pPr>
          </w:p>
        </w:tc>
      </w:tr>
    </w:tbl>
    <w:p w:rsidR="00864BAF" w:rsidRDefault="00864BAF" w:rsidP="00864BAF">
      <w:pPr>
        <w:rPr>
          <w:sz w:val="20"/>
          <w:szCs w:val="20"/>
        </w:rPr>
      </w:pPr>
    </w:p>
    <w:p w:rsidR="00864BAF" w:rsidRPr="00373BC4" w:rsidRDefault="00864BAF" w:rsidP="00864BAF">
      <w:pPr>
        <w:rPr>
          <w:sz w:val="20"/>
          <w:szCs w:val="20"/>
        </w:rPr>
      </w:pPr>
      <w:r>
        <w:rPr>
          <w:sz w:val="20"/>
          <w:szCs w:val="20"/>
        </w:rPr>
        <w:t xml:space="preserve">Порядок предоставления документов по опыту </w:t>
      </w:r>
      <w:r>
        <w:rPr>
          <w:b/>
          <w:sz w:val="20"/>
          <w:szCs w:val="20"/>
        </w:rPr>
        <w:t>в файле заявки</w:t>
      </w:r>
      <w:r>
        <w:rPr>
          <w:sz w:val="20"/>
          <w:szCs w:val="20"/>
        </w:rPr>
        <w:t xml:space="preserve">: </w:t>
      </w:r>
    </w:p>
    <w:p w:rsidR="00864BAF" w:rsidRPr="00373BC4" w:rsidRDefault="00864BAF" w:rsidP="00864BAF">
      <w:pPr>
        <w:rPr>
          <w:sz w:val="20"/>
          <w:szCs w:val="20"/>
        </w:rPr>
      </w:pPr>
      <w:r>
        <w:rPr>
          <w:sz w:val="20"/>
          <w:szCs w:val="20"/>
        </w:rPr>
        <w:t>1.1. копия договора, указанного в строке 1 таблицы;</w:t>
      </w:r>
    </w:p>
    <w:p w:rsidR="00864BAF" w:rsidRPr="00373BC4" w:rsidRDefault="00864BAF" w:rsidP="00864BAF">
      <w:pPr>
        <w:rPr>
          <w:sz w:val="20"/>
          <w:szCs w:val="20"/>
        </w:rPr>
      </w:pPr>
      <w:r>
        <w:rPr>
          <w:sz w:val="20"/>
          <w:szCs w:val="20"/>
        </w:rPr>
        <w:t>1.2. копии документов, подтверждающих факт реализации договора на сумму, указанную в строке 1 таблицы;</w:t>
      </w:r>
    </w:p>
    <w:p w:rsidR="00864BAF" w:rsidRPr="00373BC4" w:rsidRDefault="00864BAF" w:rsidP="00864BAF">
      <w:pPr>
        <w:rPr>
          <w:sz w:val="20"/>
          <w:szCs w:val="20"/>
        </w:rPr>
      </w:pPr>
      <w:r>
        <w:rPr>
          <w:sz w:val="20"/>
          <w:szCs w:val="20"/>
        </w:rPr>
        <w:t>2.1. ……. и т.д.</w:t>
      </w:r>
    </w:p>
    <w:p w:rsidR="00864BAF" w:rsidRDefault="00864BAF" w:rsidP="00864BAF"/>
    <w:p w:rsidR="00864BAF" w:rsidRPr="00864BAF" w:rsidRDefault="00864BAF" w:rsidP="00864BAF">
      <w:pPr>
        <w:jc w:val="both"/>
        <w:rPr>
          <w:b/>
        </w:rPr>
      </w:pPr>
      <w:r w:rsidRPr="00864BAF">
        <w:rPr>
          <w:b/>
        </w:rPr>
        <w:t>Примечание:</w:t>
      </w:r>
    </w:p>
    <w:p w:rsidR="00864BAF" w:rsidRPr="00864BAF" w:rsidRDefault="00864BAF" w:rsidP="00864BAF">
      <w:pPr>
        <w:jc w:val="both"/>
        <w:rPr>
          <w:b/>
        </w:rPr>
      </w:pPr>
      <w:r w:rsidRPr="00864BAF">
        <w:rPr>
          <w:b/>
        </w:rPr>
        <w:t>В целях оценки заявок участника по критерию «Опыт участника» к учету принимаются все указанные в настоящем документе договоры при условии надлежащего подтверждения факта выполнения работ по ним и наличия не менее одного документа по каждому из требований, указанных в подпунктах 1.8 и 1.9 пункта 17 Информационной карты.</w:t>
      </w:r>
    </w:p>
    <w:p w:rsidR="00B06397" w:rsidRPr="00B06397" w:rsidRDefault="00B06397" w:rsidP="00B06397">
      <w:pPr>
        <w:ind w:firstLine="851"/>
        <w:jc w:val="both"/>
        <w:rPr>
          <w:sz w:val="28"/>
          <w:szCs w:val="28"/>
        </w:rPr>
      </w:pPr>
    </w:p>
    <w:p w:rsidR="00B06397" w:rsidRPr="00B06397" w:rsidRDefault="00B06397" w:rsidP="00B06397">
      <w:pPr>
        <w:ind w:firstLine="851"/>
        <w:jc w:val="both"/>
        <w:rPr>
          <w:sz w:val="28"/>
          <w:szCs w:val="28"/>
        </w:rPr>
      </w:pPr>
      <w:r w:rsidRPr="00B06397">
        <w:rPr>
          <w:sz w:val="28"/>
          <w:szCs w:val="28"/>
        </w:rPr>
        <w:t xml:space="preserve">1.7. пункт 7 раздела 5 «Информационная карта» изложить в следующей редакции: Заявки принимаются через ЭТП, информация по которой указана в пункте 4 Информационной карты, </w:t>
      </w:r>
      <w:proofErr w:type="gramStart"/>
      <w:r w:rsidRPr="00B06397">
        <w:rPr>
          <w:sz w:val="28"/>
          <w:szCs w:val="28"/>
        </w:rPr>
        <w:t>с даты опубликования</w:t>
      </w:r>
      <w:proofErr w:type="gramEnd"/>
      <w:r w:rsidRPr="00B06397">
        <w:rPr>
          <w:sz w:val="28"/>
          <w:szCs w:val="28"/>
        </w:rPr>
        <w:t xml:space="preserve"> Открытого конкурса и до «10» сентября 2025 г. 12 час. 00 мин.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</w:r>
    </w:p>
    <w:p w:rsidR="00B06397" w:rsidRPr="00B06397" w:rsidRDefault="00B06397" w:rsidP="00B06397">
      <w:pPr>
        <w:ind w:firstLine="851"/>
        <w:jc w:val="both"/>
        <w:rPr>
          <w:sz w:val="28"/>
          <w:szCs w:val="28"/>
        </w:rPr>
      </w:pPr>
      <w:r w:rsidRPr="00B06397">
        <w:rPr>
          <w:sz w:val="28"/>
          <w:szCs w:val="28"/>
        </w:rPr>
        <w:t>1.8. пункт 8 раздела 5 «Информационная карта» изложить в следующей редакции: Рассмотрение, оценка и сопоставление Заявок состоится «12» сентября 2025 г. 12 час. 00 мин. московского времени по адресу, указанному в пункте 2 Информационной карты.</w:t>
      </w:r>
    </w:p>
    <w:p w:rsidR="00B06397" w:rsidRPr="00CE14F6" w:rsidRDefault="00B06397" w:rsidP="00AE2EEF">
      <w:pPr>
        <w:ind w:firstLine="993"/>
        <w:jc w:val="both"/>
        <w:rPr>
          <w:highlight w:val="yellow"/>
        </w:rPr>
      </w:pPr>
    </w:p>
    <w:p w:rsidR="00213F03" w:rsidRDefault="00213F03" w:rsidP="00CD71AD">
      <w:pPr>
        <w:pStyle w:val="a4"/>
        <w:suppressAutoHyphens/>
        <w:ind w:left="0" w:firstLine="851"/>
        <w:jc w:val="both"/>
      </w:pPr>
    </w:p>
    <w:p w:rsidR="00CD71AD" w:rsidRPr="00236B9E" w:rsidRDefault="00CD71AD" w:rsidP="00CD71AD">
      <w:pPr>
        <w:pStyle w:val="a4"/>
        <w:suppressAutoHyphens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B78" w:rsidRPr="009D4F76" w:rsidRDefault="005C0B78" w:rsidP="005C0B78">
      <w:pPr>
        <w:rPr>
          <w:sz w:val="28"/>
          <w:szCs w:val="28"/>
        </w:rPr>
      </w:pPr>
      <w:r w:rsidRPr="009D4F76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</w:t>
      </w:r>
      <w:proofErr w:type="gramStart"/>
      <w:r w:rsidRPr="009D4F76">
        <w:rPr>
          <w:sz w:val="28"/>
          <w:szCs w:val="28"/>
        </w:rPr>
        <w:t>постоянной</w:t>
      </w:r>
      <w:proofErr w:type="gramEnd"/>
    </w:p>
    <w:p w:rsidR="005C0B78" w:rsidRPr="009D4F76" w:rsidRDefault="005C0B78" w:rsidP="005C0B78">
      <w:pPr>
        <w:rPr>
          <w:sz w:val="28"/>
          <w:szCs w:val="28"/>
        </w:rPr>
      </w:pPr>
      <w:r w:rsidRPr="009D4F76">
        <w:rPr>
          <w:sz w:val="28"/>
          <w:szCs w:val="28"/>
        </w:rPr>
        <w:t>рабочей группы Конкурсной комиссии</w:t>
      </w:r>
    </w:p>
    <w:p w:rsidR="00772D38" w:rsidRDefault="005C0B78">
      <w:pPr>
        <w:rPr>
          <w:sz w:val="28"/>
          <w:szCs w:val="28"/>
        </w:rPr>
      </w:pPr>
      <w:r w:rsidRPr="009D4F76">
        <w:rPr>
          <w:sz w:val="28"/>
          <w:szCs w:val="28"/>
        </w:rPr>
        <w:t xml:space="preserve">Уральского филиала ПАО «ТрансКонтейнер»    </w:t>
      </w:r>
    </w:p>
    <w:sectPr w:rsidR="00772D38">
      <w:headerReference w:type="first" r:id="rId17"/>
      <w:pgSz w:w="11900" w:h="16840"/>
      <w:pgMar w:top="28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A7" w:rsidRDefault="00511BA7">
      <w:r>
        <w:separator/>
      </w:r>
    </w:p>
  </w:endnote>
  <w:endnote w:type="continuationSeparator" w:id="0">
    <w:p w:rsidR="00511BA7" w:rsidRDefault="0051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A7" w:rsidRDefault="00511BA7">
      <w:r>
        <w:separator/>
      </w:r>
    </w:p>
  </w:footnote>
  <w:footnote w:type="continuationSeparator" w:id="0">
    <w:p w:rsidR="00511BA7" w:rsidRDefault="00511BA7">
      <w:r>
        <w:continuationSeparator/>
      </w:r>
    </w:p>
  </w:footnote>
  <w:footnote w:id="1">
    <w:p w:rsidR="00511BA7" w:rsidRDefault="00511BA7" w:rsidP="00864BAF">
      <w:pPr>
        <w:pStyle w:val="af"/>
        <w:jc w:val="both"/>
      </w:pPr>
      <w:r>
        <w:rPr>
          <w:rStyle w:val="af1"/>
          <w:rFonts w:eastAsia="MS Mincho"/>
        </w:rPr>
        <w:footnoteRef/>
      </w:r>
      <w:r>
        <w:t xml:space="preserve"> К сведениям об опыте прилагаются копии договоров, актов и др. документов в соответствии с частью 2 пункта 17 Информационной карты. При предоставлении копии договора, акта и др. конфиденциальная информация (кроме предмета, сторон и цены договора) составляющая коммерческую или иную тайну, может быть удалена.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A7" w:rsidRPr="000A4DFB" w:rsidRDefault="00511BA7">
    <w:pPr>
      <w:pStyle w:val="a0"/>
      <w:rPr>
        <w:sz w:val="28"/>
        <w:lang w:val="en-US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F38D6E" wp14:editId="7C857FA9">
              <wp:simplePos x="0" y="0"/>
              <wp:positionH relativeFrom="margin">
                <wp:posOffset>785495</wp:posOffset>
              </wp:positionH>
              <wp:positionV relativeFrom="paragraph">
                <wp:posOffset>-37465</wp:posOffset>
              </wp:positionV>
              <wp:extent cx="1749600" cy="424800"/>
              <wp:effectExtent l="0" t="0" r="3175" b="0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49600" cy="4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margin;margin-left:61.85pt;mso-position-horizontal:absolute;mso-position-vertical-relative:text;margin-top:-2.95pt;mso-position-vertical:absolute;width:137.76pt;height:33.4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</w:p>
  <w:p w:rsidR="00511BA7" w:rsidRDefault="00511BA7">
    <w:pPr>
      <w:pStyle w:val="a0"/>
      <w:rPr>
        <w:sz w:val="28"/>
        <w:lang w:val="uk-UA"/>
      </w:rPr>
    </w:pPr>
  </w:p>
  <w:p w:rsidR="00511BA7" w:rsidRDefault="00511BA7">
    <w:pPr>
      <w:pStyle w:val="a0"/>
      <w:rPr>
        <w:sz w:val="28"/>
        <w:lang w:val="uk-UA"/>
      </w:rPr>
    </w:pPr>
  </w:p>
  <w:p w:rsidR="00511BA7" w:rsidRDefault="00511BA7">
    <w:pPr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</w:rPr>
      <w:t>УРАЛЬСКИЙ Ф</w:t>
    </w:r>
    <w:r>
      <w:rPr>
        <w:rFonts w:ascii="Times New Roman" w:hAnsi="Times New Roman" w:cs="Times New Roman"/>
        <w:b/>
        <w:bCs/>
        <w:color w:val="072FA0"/>
        <w:lang w:val="uk-UA"/>
      </w:rPr>
      <w:t>ИЛИАЛ</w:t>
    </w:r>
  </w:p>
  <w:p w:rsidR="00511BA7" w:rsidRDefault="00511BA7">
    <w:pPr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ПАО «ТРАНСКОНТЕЙНЕР»</w:t>
    </w:r>
  </w:p>
  <w:p w:rsidR="00511BA7" w:rsidRDefault="00511BA7">
    <w:pPr>
      <w:ind w:right="4536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:rsidR="00511BA7" w:rsidRDefault="00511BA7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ул. Николая Никонова, д. 8, </w:t>
    </w:r>
  </w:p>
  <w:p w:rsidR="00511BA7" w:rsidRPr="000A4DFB" w:rsidRDefault="00511BA7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г.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Екатеринбург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620027 </w:t>
    </w:r>
  </w:p>
  <w:p w:rsidR="00511BA7" w:rsidRDefault="00511BA7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Тел.: +7 (343) 224-80-07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  <w:t xml:space="preserve">Эл. почта: 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ural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uk-UA"/>
      </w:rPr>
      <w:t>@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trcont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uk-UA"/>
      </w:rPr>
      <w:t>.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ru</w:t>
    </w:r>
  </w:p>
  <w:p w:rsidR="00511BA7" w:rsidRDefault="00511BA7">
    <w:pPr>
      <w:tabs>
        <w:tab w:val="left" w:pos="4962"/>
      </w:tabs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:rsidR="00511BA7" w:rsidRDefault="00511BA7">
    <w:pPr>
      <w:tabs>
        <w:tab w:val="left" w:pos="4253"/>
      </w:tabs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997650001</w:t>
    </w:r>
  </w:p>
  <w:p w:rsidR="00511BA7" w:rsidRDefault="00511BA7">
    <w:pPr>
      <w:pStyle w:val="a0"/>
      <w:ind w:right="509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5AC8"/>
    <w:multiLevelType w:val="multilevel"/>
    <w:tmpl w:val="88B60D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i w:val="0"/>
      </w:rPr>
    </w:lvl>
  </w:abstractNum>
  <w:abstractNum w:abstractNumId="1">
    <w:nsid w:val="6F381852"/>
    <w:multiLevelType w:val="multilevel"/>
    <w:tmpl w:val="E42ADDC8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38"/>
    <w:rsid w:val="000A4DFB"/>
    <w:rsid w:val="00105320"/>
    <w:rsid w:val="001829FD"/>
    <w:rsid w:val="00213F03"/>
    <w:rsid w:val="00236B9E"/>
    <w:rsid w:val="00370A48"/>
    <w:rsid w:val="0038162F"/>
    <w:rsid w:val="003A27D0"/>
    <w:rsid w:val="003D1C2B"/>
    <w:rsid w:val="003F31F9"/>
    <w:rsid w:val="00466414"/>
    <w:rsid w:val="00511BA7"/>
    <w:rsid w:val="005C0B78"/>
    <w:rsid w:val="00772D38"/>
    <w:rsid w:val="00864BAF"/>
    <w:rsid w:val="008E26BC"/>
    <w:rsid w:val="009A6147"/>
    <w:rsid w:val="009B5B06"/>
    <w:rsid w:val="00A20751"/>
    <w:rsid w:val="00A82121"/>
    <w:rsid w:val="00AE2EEF"/>
    <w:rsid w:val="00B06397"/>
    <w:rsid w:val="00BB5DA1"/>
    <w:rsid w:val="00BE5336"/>
    <w:rsid w:val="00CD71AD"/>
    <w:rsid w:val="00D46C55"/>
    <w:rsid w:val="00EF7582"/>
    <w:rsid w:val="00F46082"/>
    <w:rsid w:val="00F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"/>
    <w:basedOn w:val="a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1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aliases w:val="Footnote Text Char Знак,Знак2,Знак4 Знак,Знак4 Знак Знак,Footnote Text Char Знак Знак Знак Знак,Footnote Text Char Знак Знак"/>
    <w:basedOn w:val="a"/>
    <w:link w:val="af0"/>
    <w:unhideWhenUsed/>
    <w:pPr>
      <w:spacing w:after="40"/>
    </w:pPr>
    <w:rPr>
      <w:sz w:val="18"/>
    </w:rPr>
  </w:style>
  <w:style w:type="character" w:customStyle="1" w:styleId="af0">
    <w:name w:val="Текст сноски Знак"/>
    <w:aliases w:val="Footnote Text Char Знак Знак2,Знак2 Знак1,Знак4 Знак Знак2,Знак4 Знак Знак Знак1,Footnote Text Char Знак Знак Знак Знак Знак1,Footnote Text Char Знак Знак Знак1"/>
    <w:link w:val="af"/>
    <w:uiPriority w:val="99"/>
    <w:rPr>
      <w:sz w:val="18"/>
    </w:rPr>
  </w:style>
  <w:style w:type="character" w:styleId="af1">
    <w:name w:val="footnote reference"/>
    <w:basedOn w:val="a1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0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2"/>
    <w:uiPriority w:val="39"/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d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7"/>
    <w:link w:val="13"/>
  </w:style>
  <w:style w:type="paragraph" w:styleId="aff3">
    <w:name w:val="Body Text"/>
    <w:basedOn w:val="a"/>
    <w:link w:val="aff4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Основной текст Знак"/>
    <w:basedOn w:val="a1"/>
    <w:link w:val="aff3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5">
    <w:name w:val="Balloon Text"/>
    <w:basedOn w:val="a"/>
    <w:link w:val="aff6"/>
    <w:uiPriority w:val="99"/>
    <w:semiHidden/>
    <w:unhideWhenUsed/>
    <w:rsid w:val="00D46C5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D46C55"/>
    <w:rPr>
      <w:rFonts w:ascii="Tahoma" w:hAnsi="Tahoma" w:cs="Tahoma"/>
      <w:sz w:val="16"/>
      <w:szCs w:val="16"/>
    </w:rPr>
  </w:style>
  <w:style w:type="paragraph" w:customStyle="1" w:styleId="16">
    <w:name w:val="Обычный1"/>
    <w:link w:val="CharChar"/>
    <w:qFormat/>
    <w:rsid w:val="00236B9E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6"/>
    <w:locked/>
    <w:rsid w:val="00236B9E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5">
    <w:name w:val="Абзац списка Знак"/>
    <w:aliases w:val="Маркер Знак"/>
    <w:basedOn w:val="a1"/>
    <w:link w:val="a4"/>
    <w:uiPriority w:val="34"/>
    <w:locked/>
    <w:rsid w:val="00236B9E"/>
  </w:style>
  <w:style w:type="character" w:customStyle="1" w:styleId="WW8Num17z0">
    <w:name w:val="WW8Num17z0"/>
    <w:rsid w:val="00CD71AD"/>
    <w:rPr>
      <w:b w:val="0"/>
      <w:i w:val="0"/>
    </w:rPr>
  </w:style>
  <w:style w:type="character" w:customStyle="1" w:styleId="17">
    <w:name w:val="Текст примечания Знак1"/>
    <w:basedOn w:val="a1"/>
    <w:rsid w:val="00370A48"/>
    <w:rPr>
      <w:lang w:eastAsia="ar-SA"/>
    </w:rPr>
  </w:style>
  <w:style w:type="paragraph" w:styleId="aff7">
    <w:name w:val="Revision"/>
    <w:hidden/>
    <w:uiPriority w:val="99"/>
    <w:semiHidden/>
    <w:rsid w:val="00370A48"/>
  </w:style>
  <w:style w:type="paragraph" w:customStyle="1" w:styleId="42">
    <w:name w:val="Обычный4"/>
    <w:rsid w:val="0038162F"/>
    <w:rPr>
      <w:rFonts w:ascii="Times New Roman" w:eastAsia="Times New Roman" w:hAnsi="Times New Roman" w:cs="Times New Roman"/>
      <w:lang w:eastAsia="ru-RU"/>
    </w:rPr>
  </w:style>
  <w:style w:type="character" w:customStyle="1" w:styleId="18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1"/>
    <w:rsid w:val="00864BA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"/>
    <w:basedOn w:val="a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1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aliases w:val="Footnote Text Char Знак,Знак2,Знак4 Знак,Знак4 Знак Знак,Footnote Text Char Знак Знак Знак Знак,Footnote Text Char Знак Знак"/>
    <w:basedOn w:val="a"/>
    <w:link w:val="af0"/>
    <w:unhideWhenUsed/>
    <w:pPr>
      <w:spacing w:after="40"/>
    </w:pPr>
    <w:rPr>
      <w:sz w:val="18"/>
    </w:rPr>
  </w:style>
  <w:style w:type="character" w:customStyle="1" w:styleId="af0">
    <w:name w:val="Текст сноски Знак"/>
    <w:aliases w:val="Footnote Text Char Знак Знак2,Знак2 Знак1,Знак4 Знак Знак2,Знак4 Знак Знак Знак1,Footnote Text Char Знак Знак Знак Знак Знак1,Footnote Text Char Знак Знак Знак1"/>
    <w:link w:val="af"/>
    <w:uiPriority w:val="99"/>
    <w:rPr>
      <w:sz w:val="18"/>
    </w:rPr>
  </w:style>
  <w:style w:type="character" w:styleId="af1">
    <w:name w:val="footnote reference"/>
    <w:basedOn w:val="a1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0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2"/>
    <w:uiPriority w:val="39"/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d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7"/>
    <w:link w:val="13"/>
  </w:style>
  <w:style w:type="paragraph" w:styleId="aff3">
    <w:name w:val="Body Text"/>
    <w:basedOn w:val="a"/>
    <w:link w:val="aff4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Основной текст Знак"/>
    <w:basedOn w:val="a1"/>
    <w:link w:val="aff3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5">
    <w:name w:val="Balloon Text"/>
    <w:basedOn w:val="a"/>
    <w:link w:val="aff6"/>
    <w:uiPriority w:val="99"/>
    <w:semiHidden/>
    <w:unhideWhenUsed/>
    <w:rsid w:val="00D46C5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D46C55"/>
    <w:rPr>
      <w:rFonts w:ascii="Tahoma" w:hAnsi="Tahoma" w:cs="Tahoma"/>
      <w:sz w:val="16"/>
      <w:szCs w:val="16"/>
    </w:rPr>
  </w:style>
  <w:style w:type="paragraph" w:customStyle="1" w:styleId="16">
    <w:name w:val="Обычный1"/>
    <w:link w:val="CharChar"/>
    <w:qFormat/>
    <w:rsid w:val="00236B9E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6"/>
    <w:locked/>
    <w:rsid w:val="00236B9E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5">
    <w:name w:val="Абзац списка Знак"/>
    <w:aliases w:val="Маркер Знак"/>
    <w:basedOn w:val="a1"/>
    <w:link w:val="a4"/>
    <w:uiPriority w:val="34"/>
    <w:locked/>
    <w:rsid w:val="00236B9E"/>
  </w:style>
  <w:style w:type="character" w:customStyle="1" w:styleId="WW8Num17z0">
    <w:name w:val="WW8Num17z0"/>
    <w:rsid w:val="00CD71AD"/>
    <w:rPr>
      <w:b w:val="0"/>
      <w:i w:val="0"/>
    </w:rPr>
  </w:style>
  <w:style w:type="character" w:customStyle="1" w:styleId="17">
    <w:name w:val="Текст примечания Знак1"/>
    <w:basedOn w:val="a1"/>
    <w:rsid w:val="00370A48"/>
    <w:rPr>
      <w:lang w:eastAsia="ar-SA"/>
    </w:rPr>
  </w:style>
  <w:style w:type="paragraph" w:styleId="aff7">
    <w:name w:val="Revision"/>
    <w:hidden/>
    <w:uiPriority w:val="99"/>
    <w:semiHidden/>
    <w:rsid w:val="00370A48"/>
  </w:style>
  <w:style w:type="paragraph" w:customStyle="1" w:styleId="42">
    <w:name w:val="Обычный4"/>
    <w:rsid w:val="0038162F"/>
    <w:rPr>
      <w:rFonts w:ascii="Times New Roman" w:eastAsia="Times New Roman" w:hAnsi="Times New Roman" w:cs="Times New Roman"/>
      <w:lang w:eastAsia="ru-RU"/>
    </w:rPr>
  </w:style>
  <w:style w:type="character" w:customStyle="1" w:styleId="18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1"/>
    <w:rsid w:val="00864BA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dresurs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ssprus.ru/iss/i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gr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b.nalo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grz.ru/" TargetMode="External"/><Relationship Id="rId10" Type="http://schemas.openxmlformats.org/officeDocument/2006/relationships/hyperlink" Target="https://pb.nalo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alog.ru" TargetMode="External"/><Relationship Id="rId14" Type="http://schemas.openxmlformats.org/officeDocument/2006/relationships/hyperlink" Target="https://reestr.nopriz.ru/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78F6-E95D-400F-9768-04C79779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erbiaginamv</cp:lastModifiedBy>
  <cp:revision>3</cp:revision>
  <dcterms:created xsi:type="dcterms:W3CDTF">2025-09-01T13:42:00Z</dcterms:created>
  <dcterms:modified xsi:type="dcterms:W3CDTF">2025-09-02T09:18:00Z</dcterms:modified>
</cp:coreProperties>
</file>