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26"/>
        <w:gridCol w:w="567"/>
        <w:gridCol w:w="425"/>
        <w:gridCol w:w="1843"/>
      </w:tblGrid>
      <w:tr w:rsidR="0064317C" w14:paraId="224CC674" w14:textId="77777777">
        <w:trPr>
          <w:trHeight w:val="43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58BA7CAD" w:rsidR="0064317C" w:rsidRPr="006160B3" w:rsidRDefault="006160B3" w:rsidP="006160B3">
            <w:pPr>
              <w:pStyle w:val="af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426" w:type="dxa"/>
            <w:vAlign w:val="center"/>
          </w:tcPr>
          <w:p w14:paraId="224CC672" w14:textId="77777777" w:rsidR="0064317C" w:rsidRDefault="00A10B6C" w:rsidP="006160B3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ACCF2D2" w:rsidR="0064317C" w:rsidRPr="006160B3" w:rsidRDefault="006160B3" w:rsidP="006160B3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>
        <w:trPr>
          <w:trHeight w:val="454"/>
        </w:trPr>
        <w:tc>
          <w:tcPr>
            <w:tcW w:w="709" w:type="dxa"/>
            <w:vAlign w:val="center"/>
          </w:tcPr>
          <w:p w14:paraId="224CC675" w14:textId="77777777" w:rsidR="0064317C" w:rsidRDefault="00A10B6C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>
            <w:pPr>
              <w:pStyle w:val="af9"/>
              <w:ind w:left="-143" w:firstLine="143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24CC677" w14:textId="77777777" w:rsidR="0064317C" w:rsidRDefault="00A10B6C">
            <w:pPr>
              <w:pStyle w:val="af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>
            <w:pPr>
              <w:pStyle w:val="af9"/>
              <w:ind w:right="-300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77777777" w:rsidR="0064317C" w:rsidRDefault="0064317C">
      <w:pPr>
        <w:pStyle w:val="1"/>
        <w:rPr>
          <w:rFonts w:cstheme="minorHAnsi"/>
          <w:sz w:val="28"/>
          <w:szCs w:val="28"/>
        </w:rPr>
      </w:pPr>
    </w:p>
    <w:p w14:paraId="224CC67B" w14:textId="77777777" w:rsidR="0064317C" w:rsidRDefault="00A10B6C">
      <w:pPr>
        <w:pStyle w:val="1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24CC695">
                <wp:simplePos x="0" y="0"/>
                <wp:positionH relativeFrom="page">
                  <wp:posOffset>4558030</wp:posOffset>
                </wp:positionH>
                <wp:positionV relativeFrom="page">
                  <wp:posOffset>1256665</wp:posOffset>
                </wp:positionV>
                <wp:extent cx="2426400" cy="1702800"/>
                <wp:effectExtent l="0" t="0" r="12065" b="1206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6400" cy="17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29168FCA" w14:textId="06B1BAFD" w:rsidR="006160B3" w:rsidRDefault="006160B3" w:rsidP="006160B3"/>
                              <w:p w14:paraId="224CC6AC" w14:textId="6B732E41" w:rsidR="0064317C" w:rsidRDefault="00523667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8.9pt;margin-top:98.95pt;width:191.05pt;height:13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29168FCA" w14:textId="06B1BAFD" w:rsidR="006160B3" w:rsidRDefault="006160B3" w:rsidP="006160B3"/>
                        <w:p w14:paraId="224CC6AC" w14:textId="6B732E41" w:rsidR="0064317C" w:rsidRDefault="002919C4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14:paraId="4ABC274D" w14:textId="75CB1145" w:rsidR="006160B3" w:rsidRPr="00B978F7" w:rsidRDefault="006160B3" w:rsidP="006160B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ТрансКонтейнер» информирует о внесении изменений в документацию о закупке открытого 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конкурса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Pr="007543E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</w:t>
      </w:r>
      <w:r w:rsidRPr="007543E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э-ЦКПКЗ-25-00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20</w:t>
      </w:r>
      <w:r w:rsidRPr="007543E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 предмету закупки «</w:t>
      </w:r>
      <w:r w:rsidRPr="006160B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Аудит основных процессов, включая разработку карты клиентского пути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» (Открытый 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конкурс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)</w:t>
      </w:r>
    </w:p>
    <w:p w14:paraId="2F3C909C" w14:textId="77777777" w:rsidR="006160B3" w:rsidRPr="00B978F7" w:rsidRDefault="006160B3" w:rsidP="006160B3">
      <w:pPr>
        <w:ind w:left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1849021" w14:textId="21E361FC" w:rsidR="006160B3" w:rsidRPr="00D14AE7" w:rsidRDefault="006160B3" w:rsidP="006160B3">
      <w:pPr>
        <w:ind w:firstLine="709"/>
        <w:jc w:val="both"/>
        <w:rPr>
          <w:rStyle w:val="aff2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B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 документации о закупке Открытого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Pr="00B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59A2B91" w14:textId="77777777" w:rsidR="006160B3" w:rsidRPr="00787405" w:rsidRDefault="006160B3" w:rsidP="006160B3">
      <w:pPr>
        <w:pStyle w:val="a3"/>
        <w:numPr>
          <w:ilvl w:val="1"/>
          <w:numId w:val="1"/>
        </w:numPr>
        <w:suppressAutoHyphens/>
        <w:ind w:left="0" w:firstLine="709"/>
        <w:jc w:val="both"/>
        <w:rPr>
          <w:b/>
          <w:sz w:val="28"/>
          <w:szCs w:val="28"/>
        </w:rPr>
      </w:pPr>
      <w:r w:rsidRPr="00B978F7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 7, 8, </w:t>
      </w:r>
      <w:r w:rsidRPr="00B978F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раздела 5 «Информационная карта» документации о закупке изложить в следующей редакции:</w:t>
      </w:r>
    </w:p>
    <w:p w14:paraId="56860A87" w14:textId="77777777" w:rsidR="006160B3" w:rsidRPr="00787405" w:rsidRDefault="006160B3" w:rsidP="006160B3">
      <w:pPr>
        <w:suppressAutoHyphens/>
        <w:ind w:firstLine="708"/>
        <w:jc w:val="both"/>
        <w:rPr>
          <w:rStyle w:val="aff2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787405">
        <w:rPr>
          <w:rStyle w:val="aff2"/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203"/>
        <w:gridCol w:w="6915"/>
      </w:tblGrid>
      <w:tr w:rsidR="006160B3" w14:paraId="2B780A5E" w14:textId="77777777" w:rsidTr="00E654A7">
        <w:trPr>
          <w:trHeight w:val="1949"/>
        </w:trPr>
        <w:tc>
          <w:tcPr>
            <w:tcW w:w="534" w:type="dxa"/>
          </w:tcPr>
          <w:p w14:paraId="6F4EC75D" w14:textId="77777777" w:rsidR="006160B3" w:rsidRPr="00331A15" w:rsidRDefault="006160B3" w:rsidP="00E654A7">
            <w:pPr>
              <w:pStyle w:val="19"/>
              <w:ind w:firstLine="0"/>
              <w:rPr>
                <w:b/>
                <w:szCs w:val="28"/>
              </w:rPr>
            </w:pPr>
            <w:r w:rsidRPr="00331A15">
              <w:rPr>
                <w:b/>
                <w:szCs w:val="28"/>
              </w:rPr>
              <w:t>7.</w:t>
            </w:r>
          </w:p>
        </w:tc>
        <w:tc>
          <w:tcPr>
            <w:tcW w:w="2296" w:type="dxa"/>
          </w:tcPr>
          <w:p w14:paraId="3C433153" w14:textId="77777777" w:rsidR="006160B3" w:rsidRPr="00331A15" w:rsidRDefault="006160B3" w:rsidP="00E654A7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331A15">
              <w:rPr>
                <w:b/>
                <w:color w:val="auto"/>
                <w:sz w:val="28"/>
                <w:szCs w:val="28"/>
              </w:rPr>
              <w:t>Место, дата и время окончания срока подачи Заявок, открытия доступа к Заявкам</w:t>
            </w:r>
          </w:p>
        </w:tc>
        <w:tc>
          <w:tcPr>
            <w:tcW w:w="7230" w:type="dxa"/>
          </w:tcPr>
          <w:p w14:paraId="78C7FE69" w14:textId="44FA1282" w:rsidR="006160B3" w:rsidRPr="00331A15" w:rsidRDefault="006160B3" w:rsidP="00E654A7">
            <w:pPr>
              <w:pStyle w:val="19"/>
              <w:ind w:firstLine="397"/>
              <w:rPr>
                <w:b/>
                <w:szCs w:val="28"/>
              </w:rPr>
            </w:pPr>
            <w:r w:rsidRPr="006160B3">
              <w:rPr>
                <w:szCs w:val="28"/>
              </w:rPr>
              <w:t>Заявки принимаются через ЭТП, информация по которой указана в пункте 4 Информационной карты, с даты опубликования Открытого конкурса и до «</w:t>
            </w:r>
            <w:r w:rsidR="001000F4" w:rsidRPr="001000F4">
              <w:rPr>
                <w:szCs w:val="28"/>
              </w:rPr>
              <w:t>19</w:t>
            </w:r>
            <w:r w:rsidRPr="006160B3">
              <w:rPr>
                <w:szCs w:val="28"/>
              </w:rPr>
              <w:t>» сентября 2025 г. 1</w:t>
            </w:r>
            <w:r w:rsidR="001000F4" w:rsidRPr="001000F4">
              <w:rPr>
                <w:szCs w:val="28"/>
              </w:rPr>
              <w:t>8</w:t>
            </w:r>
            <w:r w:rsidRPr="006160B3">
              <w:rPr>
                <w:szCs w:val="28"/>
              </w:rPr>
              <w:t xml:space="preserve"> часов 00 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6160B3" w14:paraId="01B2AD40" w14:textId="77777777" w:rsidTr="00E654A7">
        <w:trPr>
          <w:trHeight w:val="1419"/>
        </w:trPr>
        <w:tc>
          <w:tcPr>
            <w:tcW w:w="534" w:type="dxa"/>
          </w:tcPr>
          <w:p w14:paraId="37327451" w14:textId="77777777" w:rsidR="006160B3" w:rsidRPr="00331A15" w:rsidRDefault="006160B3" w:rsidP="00E654A7">
            <w:pPr>
              <w:pStyle w:val="19"/>
              <w:ind w:firstLine="0"/>
              <w:rPr>
                <w:b/>
                <w:szCs w:val="28"/>
              </w:rPr>
            </w:pPr>
            <w:r w:rsidRPr="00331A15">
              <w:rPr>
                <w:b/>
                <w:szCs w:val="28"/>
              </w:rPr>
              <w:t>8.</w:t>
            </w:r>
          </w:p>
        </w:tc>
        <w:tc>
          <w:tcPr>
            <w:tcW w:w="2296" w:type="dxa"/>
          </w:tcPr>
          <w:p w14:paraId="25A51BCC" w14:textId="77777777" w:rsidR="006160B3" w:rsidRPr="00331A15" w:rsidRDefault="006160B3" w:rsidP="00E654A7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331A15">
              <w:rPr>
                <w:b/>
                <w:color w:val="auto"/>
                <w:sz w:val="28"/>
                <w:szCs w:val="28"/>
              </w:rPr>
              <w:t>Рассмотрение Заявок Организатором</w:t>
            </w:r>
          </w:p>
        </w:tc>
        <w:tc>
          <w:tcPr>
            <w:tcW w:w="7230" w:type="dxa"/>
          </w:tcPr>
          <w:p w14:paraId="4A2828D1" w14:textId="796362BC" w:rsidR="006160B3" w:rsidRPr="00331A15" w:rsidRDefault="006160B3" w:rsidP="00E654A7">
            <w:pPr>
              <w:pStyle w:val="19"/>
              <w:ind w:firstLine="397"/>
              <w:rPr>
                <w:szCs w:val="28"/>
              </w:rPr>
            </w:pPr>
            <w:r w:rsidRPr="006160B3">
              <w:rPr>
                <w:szCs w:val="28"/>
              </w:rPr>
              <w:t>Рассмотрение, оценка и сопоставление Заявок состоится «</w:t>
            </w:r>
            <w:r w:rsidR="001000F4" w:rsidRPr="001000F4">
              <w:rPr>
                <w:szCs w:val="28"/>
              </w:rPr>
              <w:t>23</w:t>
            </w:r>
            <w:r w:rsidRPr="006160B3">
              <w:rPr>
                <w:szCs w:val="28"/>
              </w:rPr>
              <w:t>» сентября 2025 г. 14 часов 00 минут местного времени по адресу, указанному в пункте 2 Информационной карты.</w:t>
            </w:r>
          </w:p>
        </w:tc>
      </w:tr>
    </w:tbl>
    <w:p w14:paraId="3EAD2320" w14:textId="77777777" w:rsidR="006160B3" w:rsidRDefault="006160B3" w:rsidP="006160B3">
      <w:pPr>
        <w:suppressAutoHyphens/>
        <w:ind w:firstLine="567"/>
        <w:jc w:val="both"/>
        <w:rPr>
          <w:rStyle w:val="aff2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B978F7">
        <w:rPr>
          <w:rStyle w:val="aff2"/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13296948" w14:textId="77777777" w:rsidR="006160B3" w:rsidRDefault="006160B3" w:rsidP="006160B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Подпункт 1.6 пункта 17 раздела 5 «Информационная карта» документации о закупке изложить в следующей редакции</w:t>
      </w:r>
      <w:r w:rsidRPr="003D5E9B">
        <w:rPr>
          <w:rFonts w:ascii="Times New Roman" w:eastAsia="Times New Roman" w:hAnsi="Times New Roman" w:cs="Times New Roman"/>
          <w:sz w:val="28"/>
          <w:szCs w:val="26"/>
          <w:lang w:eastAsia="ar-SA"/>
        </w:rPr>
        <w:t>:</w:t>
      </w:r>
    </w:p>
    <w:p w14:paraId="36B8B3CB" w14:textId="77777777" w:rsidR="006160B3" w:rsidRPr="003D5E9B" w:rsidRDefault="006160B3" w:rsidP="006160B3">
      <w:pPr>
        <w:pStyle w:val="a3"/>
        <w:ind w:left="567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203"/>
        <w:gridCol w:w="6915"/>
      </w:tblGrid>
      <w:tr w:rsidR="006160B3" w:rsidRPr="00331A15" w14:paraId="44E9386B" w14:textId="77777777" w:rsidTr="00E654A7">
        <w:trPr>
          <w:trHeight w:val="8921"/>
        </w:trPr>
        <w:tc>
          <w:tcPr>
            <w:tcW w:w="534" w:type="dxa"/>
          </w:tcPr>
          <w:p w14:paraId="66D634E8" w14:textId="77777777" w:rsidR="006160B3" w:rsidRPr="00331A15" w:rsidRDefault="006160B3" w:rsidP="00E654A7">
            <w:pPr>
              <w:pStyle w:val="19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17</w:t>
            </w:r>
          </w:p>
        </w:tc>
        <w:tc>
          <w:tcPr>
            <w:tcW w:w="2296" w:type="dxa"/>
          </w:tcPr>
          <w:p w14:paraId="42B89108" w14:textId="77777777" w:rsidR="006160B3" w:rsidRPr="00331A15" w:rsidRDefault="006160B3" w:rsidP="00E654A7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3D5E9B">
              <w:rPr>
                <w:b/>
                <w:color w:val="auto"/>
                <w:sz w:val="28"/>
                <w:szCs w:val="28"/>
              </w:rPr>
              <w:t>Требования, предъявляемые к претендентам и Заявке на участие в Открытом конкурсе</w:t>
            </w:r>
          </w:p>
        </w:tc>
        <w:tc>
          <w:tcPr>
            <w:tcW w:w="7230" w:type="dxa"/>
          </w:tcPr>
          <w:p w14:paraId="3DA0B733" w14:textId="77777777" w:rsidR="006160B3" w:rsidRPr="003D5E9B" w:rsidRDefault="006160B3" w:rsidP="00E654A7">
            <w:pPr>
              <w:pStyle w:val="a3"/>
              <w:suppressAutoHyphens/>
              <w:ind w:left="1" w:firstLine="567"/>
              <w:contextualSpacing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1.6. Претендент и/или его субподрядчик должен иметь в штате или привлечённую команду/субподрядчика следующих квалифицированных специалистов:</w:t>
            </w:r>
          </w:p>
          <w:p w14:paraId="59A0EA74" w14:textId="7E443956" w:rsidR="006160B3" w:rsidRPr="003D5E9B" w:rsidRDefault="00BA3353" w:rsidP="006160B3">
            <w:pPr>
              <w:pStyle w:val="a3"/>
              <w:numPr>
                <w:ilvl w:val="0"/>
                <w:numId w:val="2"/>
              </w:numPr>
              <w:suppressAutoHyphens/>
              <w:ind w:left="0" w:firstLine="487"/>
              <w:contextualSpacing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 бизнес-аналитик с опытом построения CJM и анализа бизнес-процессов (подтверждённый опыт в проектах с использованием BPMN 2.0);</w:t>
            </w:r>
          </w:p>
          <w:p w14:paraId="0D4F568F" w14:textId="10D8BE30" w:rsidR="006160B3" w:rsidRPr="003D5E9B" w:rsidRDefault="00BA3353" w:rsidP="006160B3">
            <w:pPr>
              <w:pStyle w:val="a3"/>
              <w:numPr>
                <w:ilvl w:val="0"/>
                <w:numId w:val="2"/>
              </w:numPr>
              <w:suppressAutoHyphens/>
              <w:ind w:left="0" w:firstLine="487"/>
              <w:contextualSpacing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 специалист по клиентскому опыту (CX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Customer</w:t>
            </w:r>
            <w:proofErr w:type="spellEnd"/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Experience</w:t>
            </w:r>
            <w:proofErr w:type="spellEnd"/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)/CJM), участвовавший в проектах с интервьюированием клиентов, в т.ч. с применением методов «Тайный гость», опросов, анализа точек контакта;</w:t>
            </w:r>
          </w:p>
          <w:p w14:paraId="37B86D70" w14:textId="32F6988D" w:rsidR="006160B3" w:rsidRPr="003D5E9B" w:rsidRDefault="00BA3353" w:rsidP="006160B3">
            <w:pPr>
              <w:pStyle w:val="a3"/>
              <w:numPr>
                <w:ilvl w:val="0"/>
                <w:numId w:val="2"/>
              </w:numPr>
              <w:suppressAutoHyphens/>
              <w:ind w:left="0" w:firstLine="487"/>
              <w:contextualSpacing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 архитектор ИТ-ландшафта / ИТ-аналитик, с опытом анализа и моделирования ИТ-систем и процессов;</w:t>
            </w:r>
          </w:p>
          <w:p w14:paraId="394B3216" w14:textId="070AC732" w:rsidR="006160B3" w:rsidRPr="003D5E9B" w:rsidRDefault="00BA3353" w:rsidP="006160B3">
            <w:pPr>
              <w:pStyle w:val="a3"/>
              <w:numPr>
                <w:ilvl w:val="0"/>
                <w:numId w:val="2"/>
              </w:numPr>
              <w:suppressAutoHyphens/>
              <w:ind w:left="0" w:firstLine="487"/>
              <w:contextualSpacing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 UX/UI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(дизайнер пользовательского опыта)-специалист с опытом визуализации клиентских сценариев;</w:t>
            </w:r>
          </w:p>
          <w:p w14:paraId="14CD4C03" w14:textId="713B56F4" w:rsidR="006160B3" w:rsidRPr="003D5E9B" w:rsidRDefault="00BA3353" w:rsidP="006160B3">
            <w:pPr>
              <w:pStyle w:val="a3"/>
              <w:numPr>
                <w:ilvl w:val="0"/>
                <w:numId w:val="2"/>
              </w:numPr>
              <w:suppressAutoHyphens/>
              <w:ind w:left="0" w:firstLine="487"/>
              <w:contextualSpacing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1 менеджер проекта с 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одним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или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несколькими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из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следующих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сертификато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Project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Management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Profession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PMal</w:t>
            </w:r>
            <w:proofErr w:type="spellEnd"/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(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PMP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)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I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ACP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PMBOK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PRINCE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2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Practitioner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или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ITIL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4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Managing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val="en-US" w:eastAsia="ar-SA"/>
              </w:rPr>
              <w:t>Professional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160B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или их российскими аналогами</w:t>
            </w:r>
            <w:r w:rsidR="006160B3" w:rsidRPr="003D5E9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</w:t>
            </w:r>
          </w:p>
          <w:p w14:paraId="7FDC63AF" w14:textId="0C44A5B9" w:rsidR="006160B3" w:rsidRPr="00331A15" w:rsidRDefault="006160B3" w:rsidP="006160B3">
            <w:pPr>
              <w:pStyle w:val="19"/>
              <w:ind w:firstLine="397"/>
              <w:rPr>
                <w:szCs w:val="28"/>
              </w:rPr>
            </w:pPr>
            <w:r w:rsidRPr="003D5E9B">
              <w:rPr>
                <w:szCs w:val="28"/>
              </w:rPr>
              <w:t>Один специалист может совмещать несколько компетенций, если это подтверждено опытом и документами, при этом в проекте должны быть задействованы не менее чем 5 специалистов.</w:t>
            </w:r>
          </w:p>
        </w:tc>
      </w:tr>
    </w:tbl>
    <w:p w14:paraId="5178D4D6" w14:textId="77777777" w:rsidR="006160B3" w:rsidRDefault="006160B3" w:rsidP="006160B3">
      <w:pPr>
        <w:pStyle w:val="a3"/>
        <w:ind w:left="568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»</w:t>
      </w:r>
    </w:p>
    <w:p w14:paraId="238A0610" w14:textId="77777777" w:rsidR="006160B3" w:rsidRDefault="006160B3" w:rsidP="006160B3">
      <w:pPr>
        <w:pStyle w:val="a3"/>
        <w:suppressAutoHyphens/>
        <w:ind w:left="375"/>
        <w:jc w:val="both"/>
        <w:rPr>
          <w:rStyle w:val="aff2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75202" w14:textId="77777777" w:rsidR="006160B3" w:rsidRPr="00104F33" w:rsidRDefault="006160B3" w:rsidP="006160B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76B1C10F" w14:textId="0C83CCD3" w:rsidR="006160B3" w:rsidRDefault="006160B3" w:rsidP="006160B3">
      <w:pPr>
        <w:pStyle w:val="19"/>
        <w:ind w:firstLine="0"/>
        <w:rPr>
          <w:szCs w:val="28"/>
        </w:rPr>
      </w:pPr>
    </w:p>
    <w:p w14:paraId="375569A2" w14:textId="77777777" w:rsidR="00BA3353" w:rsidRPr="00104F33" w:rsidRDefault="00BA3353" w:rsidP="006160B3">
      <w:pPr>
        <w:pStyle w:val="19"/>
        <w:ind w:firstLine="0"/>
        <w:rPr>
          <w:szCs w:val="28"/>
        </w:rPr>
      </w:pPr>
    </w:p>
    <w:p w14:paraId="1C484E58" w14:textId="77777777" w:rsidR="006160B3" w:rsidRDefault="006160B3" w:rsidP="006160B3">
      <w:pPr>
        <w:pStyle w:val="19"/>
        <w:ind w:firstLine="0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14:paraId="1CF24895" w14:textId="77777777" w:rsidR="006160B3" w:rsidRDefault="006160B3" w:rsidP="006160B3">
      <w:pPr>
        <w:pStyle w:val="19"/>
        <w:ind w:firstLine="0"/>
        <w:rPr>
          <w:szCs w:val="28"/>
        </w:rPr>
      </w:pPr>
      <w:r>
        <w:rPr>
          <w:szCs w:val="28"/>
        </w:rPr>
        <w:t xml:space="preserve">Конкурсной комиссии </w:t>
      </w:r>
    </w:p>
    <w:p w14:paraId="7E0A5F4B" w14:textId="7433E6A2" w:rsidR="006160B3" w:rsidRPr="00104F33" w:rsidRDefault="006160B3" w:rsidP="006160B3">
      <w:pPr>
        <w:pStyle w:val="19"/>
        <w:ind w:firstLine="0"/>
        <w:rPr>
          <w:szCs w:val="28"/>
        </w:rPr>
      </w:pPr>
      <w:r>
        <w:rPr>
          <w:szCs w:val="28"/>
        </w:rPr>
        <w:t>ПАО «ТрансКонтейнер»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bookmarkStart w:id="0" w:name="_GoBack"/>
      <w:bookmarkEnd w:id="0"/>
    </w:p>
    <w:p w14:paraId="224CC68E" w14:textId="77777777" w:rsidR="0064317C" w:rsidRDefault="0064317C">
      <w:pPr>
        <w:rPr>
          <w:sz w:val="28"/>
          <w:szCs w:val="28"/>
        </w:rPr>
      </w:pPr>
    </w:p>
    <w:p w14:paraId="224CC68F" w14:textId="77777777" w:rsidR="0064317C" w:rsidRDefault="0064317C">
      <w:pPr>
        <w:rPr>
          <w:sz w:val="28"/>
          <w:szCs w:val="28"/>
        </w:rPr>
      </w:pPr>
    </w:p>
    <w:p w14:paraId="224CC690" w14:textId="77777777" w:rsidR="0064317C" w:rsidRDefault="0064317C">
      <w:pPr>
        <w:rPr>
          <w:sz w:val="28"/>
          <w:szCs w:val="28"/>
        </w:rPr>
      </w:pPr>
    </w:p>
    <w:p w14:paraId="224CC691" w14:textId="77777777" w:rsidR="0064317C" w:rsidRDefault="0064317C"/>
    <w:p w14:paraId="02F2AAB4" w14:textId="77777777" w:rsidR="00A10B6C" w:rsidRDefault="00A10B6C">
      <w:pPr>
        <w:ind w:right="143"/>
        <w:rPr>
          <w:sz w:val="22"/>
          <w:szCs w:val="22"/>
        </w:rPr>
      </w:pPr>
    </w:p>
    <w:p w14:paraId="27408DD2" w14:textId="77777777" w:rsidR="00A10B6C" w:rsidRDefault="00A10B6C">
      <w:pPr>
        <w:ind w:right="143"/>
        <w:rPr>
          <w:sz w:val="22"/>
          <w:szCs w:val="22"/>
        </w:rPr>
      </w:pPr>
    </w:p>
    <w:sectPr w:rsidR="00A10B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4C37" w14:textId="77777777" w:rsidR="002919C4" w:rsidRDefault="002919C4">
      <w:r>
        <w:separator/>
      </w:r>
    </w:p>
  </w:endnote>
  <w:endnote w:type="continuationSeparator" w:id="0">
    <w:p w14:paraId="4FBAC121" w14:textId="77777777" w:rsidR="002919C4" w:rsidRDefault="0029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8" w14:textId="77777777" w:rsidR="0064317C" w:rsidRDefault="0064317C">
    <w:pPr>
      <w:pStyle w:val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9" w14:textId="77777777" w:rsidR="0064317C" w:rsidRDefault="0064317C">
    <w:pPr>
      <w:pStyle w:val="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A9" w14:textId="77777777" w:rsidR="0064317C" w:rsidRDefault="0064317C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8E46F" w14:textId="77777777" w:rsidR="002919C4" w:rsidRDefault="002919C4">
      <w:r>
        <w:separator/>
      </w:r>
    </w:p>
  </w:footnote>
  <w:footnote w:type="continuationSeparator" w:id="0">
    <w:p w14:paraId="431D4D0F" w14:textId="77777777" w:rsidR="002919C4" w:rsidRDefault="0029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6" w14:textId="77777777" w:rsidR="0064317C" w:rsidRDefault="0064317C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7" w14:textId="77777777" w:rsidR="0064317C" w:rsidRDefault="0064317C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>
    <w:pPr>
      <w:pStyle w:val="1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224CC6AB">
          <wp:simplePos x="0" y="0"/>
          <wp:positionH relativeFrom="margin">
            <wp:posOffset>728345</wp:posOffset>
          </wp:positionH>
          <wp:positionV relativeFrom="paragraph">
            <wp:posOffset>-27940</wp:posOffset>
          </wp:positionV>
          <wp:extent cx="1749600" cy="424800"/>
          <wp:effectExtent l="0" t="0" r="317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6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>
    <w:pPr>
      <w:pStyle w:val="1"/>
      <w:rPr>
        <w:sz w:val="28"/>
        <w:lang w:val="uk-UA"/>
      </w:rPr>
    </w:pPr>
  </w:p>
  <w:p w14:paraId="224CC69C" w14:textId="77777777" w:rsidR="0064317C" w:rsidRDefault="0064317C">
    <w:pPr>
      <w:pStyle w:val="1"/>
      <w:rPr>
        <w:sz w:val="28"/>
        <w:lang w:val="uk-UA"/>
      </w:rPr>
    </w:pPr>
  </w:p>
  <w:p w14:paraId="224CC69D" w14:textId="77777777" w:rsidR="0064317C" w:rsidRDefault="00A10B6C">
    <w:pPr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>
    <w:pPr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>
    <w:pPr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>
    <w:pPr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>
    <w:pPr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>
    <w:pPr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>
    <w:pPr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77777777" w:rsidR="0064317C" w:rsidRDefault="00A10B6C">
    <w:pPr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Тел.: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  <w:t xml:space="preserve">Эл. почта: 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trcont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  <w:t>@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trcont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  <w:t>.com</w:t>
    </w:r>
  </w:p>
  <w:p w14:paraId="224CC6A6" w14:textId="77777777" w:rsidR="0064317C" w:rsidRDefault="00A10B6C">
    <w:pPr>
      <w:tabs>
        <w:tab w:val="left" w:pos="4962"/>
      </w:tabs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>
    <w:pPr>
      <w:tabs>
        <w:tab w:val="left" w:pos="4253"/>
      </w:tabs>
      <w:spacing w:line="22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>
    <w:pPr>
      <w:pStyle w:val="1"/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65E6A2B"/>
    <w:multiLevelType w:val="hybridMultilevel"/>
    <w:tmpl w:val="AE2C80A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1000F4"/>
    <w:rsid w:val="002919C4"/>
    <w:rsid w:val="003664E2"/>
    <w:rsid w:val="004E22F9"/>
    <w:rsid w:val="00523667"/>
    <w:rsid w:val="006160B3"/>
    <w:rsid w:val="0064317C"/>
    <w:rsid w:val="008D4DD6"/>
    <w:rsid w:val="009723D3"/>
    <w:rsid w:val="00A10B6C"/>
    <w:rsid w:val="00BA3353"/>
    <w:rsid w:val="00D75308"/>
    <w:rsid w:val="00E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9">
    <w:name w:val="Обычный1"/>
    <w:link w:val="CharChar"/>
    <w:qFormat/>
    <w:rsid w:val="006160B3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6160B3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9"/>
    <w:qFormat/>
    <w:locked/>
    <w:rsid w:val="006160B3"/>
    <w:rPr>
      <w:rFonts w:ascii="Times New Roman" w:eastAsia="Arial" w:hAnsi="Times New Roman" w:cs="Times New Roman"/>
      <w:sz w:val="28"/>
      <w:szCs w:val="20"/>
      <w:lang w:eastAsia="ar-SA"/>
    </w:rPr>
  </w:style>
  <w:style w:type="character" w:styleId="aff2">
    <w:name w:val="Strong"/>
    <w:basedOn w:val="a0"/>
    <w:uiPriority w:val="22"/>
    <w:qFormat/>
    <w:rsid w:val="006160B3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uiPriority w:val="34"/>
    <w:locked/>
    <w:rsid w:val="0061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A9001F"/>
    <w:rsid w:val="00C05205"/>
    <w:rsid w:val="00D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Comment xmlns="C9081CBB-2DD3-4C72-8E2D-77AF0EDF2AB7" xsi:nil="true"/>
    <DocumentPriority xmlns="C9081CBB-2DD3-4C72-8E2D-77AF0EDF2AB7">высокая</DocumentPriority>
    <DocumentParentDocuments xmlns="C9081CBB-2DD3-4C72-8E2D-77AF0EDF2AB7" xsi:nil="true"/>
    <DocumentDate xmlns="C9081CBB-2DD3-4C72-8E2D-77AF0EDF2AB7">2025-08-25T21:00:00+00:00</DocumentDate>
    <DocumentContent xmlns="C9081CBB-2DD3-4C72-8E2D-77AF0EDF2AB7" xsi:nil="true"/>
    <DocumentStatus xmlns="C9081CBB-2DD3-4C72-8E2D-77AF0EDF2AB7">Актуален</DocumentStatus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DocumentNumber xmlns="C9081CBB-2DD3-4C72-8E2D-77AF0EDF2AB7">02</DocumentNumber>
    <_dlc_DocId xmlns="534cf01c-1048-43b5-9b60-64d33694a2aa">X54V6UXMVHWD-419-149</_dlc_DocId>
    <_dlc_DocIdUrl xmlns="534cf01c-1048-43b5-9b60-64d33694a2aa">
      <Url>https://intranet.trcont.ru/Docs/_layouts/15/DocIdRedir.aspx?ID=X54V6UXMVHWD-419-149</Url>
      <Description>X54V6UXMVHWD-419-149</Description>
    </_dlc_DocIdUrl>
  </documentManagement>
</p:properties>
</file>

<file path=customXml/itemProps1.xml><?xml version="1.0" encoding="utf-8"?>
<ds:datastoreItem xmlns:ds="http://schemas.openxmlformats.org/officeDocument/2006/customXml" ds:itemID="{3ECD6434-A0FE-4C74-ABE5-05B8116D0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03BBA7-6315-4ABB-86A4-E2254C63E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C469C-36A6-4377-A44A-C06A73765D2B}">
  <ds:schemaRefs>
    <ds:schemaRef ds:uri="534cf01c-1048-43b5-9b60-64d33694a2aa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C9081CBB-2DD3-4C72-8E2D-77AF0EDF2AB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2. Общий угловой бланк.docx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Общий угловой бланк.docx</dc:title>
  <dc:creator>Microsoft Office User</dc:creator>
  <cp:lastModifiedBy>Курицын Александр Евгеньевич</cp:lastModifiedBy>
  <cp:revision>3</cp:revision>
  <cp:lastPrinted>2025-09-12T12:55:00Z</cp:lastPrinted>
  <dcterms:created xsi:type="dcterms:W3CDTF">2025-09-12T13:22:00Z</dcterms:created>
  <dcterms:modified xsi:type="dcterms:W3CDTF">2025-09-12T13:49:00Z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fbeb5914-8f1a-444d-989f-bd4272d2bca8</vt:lpwstr>
  </property>
</Properties>
</file>