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706F7" w14:textId="57BD82DE" w:rsidR="00772D38" w:rsidRDefault="00C763D3" w:rsidP="00FD3B73">
      <w:pPr>
        <w:pStyle w:val="a0"/>
        <w:rPr>
          <w:rFonts w:cstheme="minorHAnsi"/>
          <w:sz w:val="2"/>
          <w:szCs w:val="2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8F5906" wp14:editId="5D528B60">
                <wp:simplePos x="0" y="0"/>
                <wp:positionH relativeFrom="page">
                  <wp:posOffset>4557370</wp:posOffset>
                </wp:positionH>
                <wp:positionV relativeFrom="page">
                  <wp:posOffset>1258214</wp:posOffset>
                </wp:positionV>
                <wp:extent cx="2648102" cy="1702435"/>
                <wp:effectExtent l="0" t="0" r="0" b="0"/>
                <wp:wrapNone/>
                <wp:docPr id="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48102" cy="170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0"/>
                        </a:ln>
                      </wps:spPr>
                      <wps:txbx>
                        <w:txbxContent>
                          <w:p w14:paraId="23BF5B70" w14:textId="77777777" w:rsidR="000037CF" w:rsidRDefault="000037CF" w:rsidP="000037CF">
                            <w:pPr>
                              <w:jc w:val="right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Участникам </w:t>
                            </w:r>
                            <w:r w:rsidRPr="000037CF">
                              <w:rPr>
                                <w:sz w:val="27"/>
                                <w:szCs w:val="27"/>
                              </w:rPr>
                              <w:t>открытого конкурса в электронной форме</w:t>
                            </w:r>
                          </w:p>
                          <w:p w14:paraId="3EAC8FB4" w14:textId="208B86CE" w:rsidR="006D7CA7" w:rsidRPr="006D7CA7" w:rsidRDefault="000037CF" w:rsidP="000037CF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037CF">
                              <w:rPr>
                                <w:sz w:val="27"/>
                                <w:szCs w:val="27"/>
                              </w:rPr>
                              <w:t>№ ОКэ-НКПГОРЬК-26-0001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F5906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58.85pt;margin-top:99.05pt;width:208.5pt;height:134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" filled="f" stroked="f" strokeweight=".5pt">
                <v:stroke miterlimit="0"/>
                <v:textbox inset="1mm,1mm,1mm,1mm">
                  <w:txbxContent>
                    <w:p w14:paraId="23BF5B70" w14:textId="77777777" w:rsidR="000037CF" w:rsidRDefault="000037CF" w:rsidP="000037CF">
                      <w:pPr>
                        <w:jc w:val="right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Участникам </w:t>
                      </w:r>
                      <w:r w:rsidRPr="000037CF">
                        <w:rPr>
                          <w:sz w:val="27"/>
                          <w:szCs w:val="27"/>
                        </w:rPr>
                        <w:t>открытого конкурса в электронной форме</w:t>
                      </w:r>
                    </w:p>
                    <w:p w14:paraId="3EAC8FB4" w14:textId="208B86CE" w:rsidR="006D7CA7" w:rsidRPr="006D7CA7" w:rsidRDefault="000037CF" w:rsidP="000037CF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0037CF">
                        <w:rPr>
                          <w:sz w:val="27"/>
                          <w:szCs w:val="27"/>
                        </w:rPr>
                        <w:t>№ ОКэ-НКПГОРЬК-26-0001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454861" w14:textId="77777777" w:rsidR="000037CF" w:rsidRDefault="000037CF" w:rsidP="000037CF">
      <w:pPr>
        <w:pStyle w:val="17"/>
        <w:suppressAutoHyphens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>Приглашение к переторжке</w:t>
      </w:r>
    </w:p>
    <w:p w14:paraId="790CFA4A" w14:textId="77777777" w:rsidR="000037CF" w:rsidRDefault="000037CF" w:rsidP="000037CF">
      <w:pPr>
        <w:pStyle w:val="17"/>
        <w:suppressAutoHyphens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по </w:t>
      </w:r>
      <w:r>
        <w:rPr>
          <w:b/>
          <w:bCs/>
          <w:szCs w:val="28"/>
        </w:rPr>
        <w:t xml:space="preserve">открытому </w:t>
      </w:r>
      <w:r w:rsidRPr="000037CF">
        <w:rPr>
          <w:b/>
          <w:bCs/>
          <w:szCs w:val="28"/>
        </w:rPr>
        <w:t>конкурс</w:t>
      </w:r>
      <w:r>
        <w:rPr>
          <w:b/>
          <w:bCs/>
          <w:szCs w:val="28"/>
        </w:rPr>
        <w:t>у</w:t>
      </w:r>
      <w:r w:rsidRPr="000037CF">
        <w:rPr>
          <w:b/>
          <w:bCs/>
          <w:szCs w:val="28"/>
        </w:rPr>
        <w:t xml:space="preserve"> в электронной форме</w:t>
      </w:r>
    </w:p>
    <w:p w14:paraId="43168F24" w14:textId="68289C9C" w:rsidR="000037CF" w:rsidRDefault="000037CF" w:rsidP="000037CF">
      <w:pPr>
        <w:pStyle w:val="17"/>
        <w:suppressAutoHyphens/>
        <w:jc w:val="center"/>
        <w:rPr>
          <w:b/>
          <w:bCs/>
          <w:szCs w:val="28"/>
        </w:rPr>
      </w:pPr>
      <w:r w:rsidRPr="000037CF">
        <w:rPr>
          <w:b/>
          <w:bCs/>
          <w:szCs w:val="28"/>
        </w:rPr>
        <w:t>№ ОКэ-НКПГОРЬК-26-0001</w:t>
      </w:r>
    </w:p>
    <w:p w14:paraId="537E2015" w14:textId="77777777" w:rsidR="000037CF" w:rsidRPr="00A629F7" w:rsidRDefault="000037CF" w:rsidP="000037CF">
      <w:pPr>
        <w:pStyle w:val="17"/>
        <w:suppressAutoHyphens/>
        <w:ind w:firstLine="0"/>
        <w:jc w:val="center"/>
        <w:rPr>
          <w:b/>
          <w:bCs/>
          <w:szCs w:val="28"/>
        </w:rPr>
      </w:pPr>
    </w:p>
    <w:p w14:paraId="28A1B4D3" w14:textId="0AB52DF5" w:rsidR="000037CF" w:rsidRPr="00A629F7" w:rsidRDefault="000037CF" w:rsidP="000037CF">
      <w:pPr>
        <w:pStyle w:val="17"/>
        <w:suppressAutoHyphens/>
        <w:rPr>
          <w:color w:val="000000"/>
          <w:szCs w:val="28"/>
          <w:shd w:val="clear" w:color="auto" w:fill="FFFFFF"/>
        </w:rPr>
      </w:pPr>
      <w:r w:rsidRPr="00C0298F">
        <w:rPr>
          <w:color w:val="000000"/>
          <w:szCs w:val="28"/>
          <w:shd w:val="clear" w:color="auto" w:fill="FFFFFF"/>
        </w:rPr>
        <w:t xml:space="preserve">Публичное акционерное общество «ТрансКонтейнер» </w:t>
      </w:r>
      <w:r w:rsidRPr="00C0298F">
        <w:rPr>
          <w:color w:val="000000"/>
          <w:szCs w:val="28"/>
          <w:shd w:val="clear" w:color="auto" w:fill="FFFFFF"/>
        </w:rPr>
        <w:br/>
        <w:t xml:space="preserve">(ПАО «ТрансКонтейнер») (далее – Заказчик), руководствуясь главой 7 Положения о закупках ПАО «ТрансКонтейнер» (далее – Положение о закупках), в соответствии с протоколом заседания Конкурсной комиссии </w:t>
      </w:r>
      <w:r w:rsidRPr="000037CF">
        <w:rPr>
          <w:color w:val="000000"/>
          <w:szCs w:val="28"/>
          <w:shd w:val="clear" w:color="auto" w:fill="FFFFFF"/>
        </w:rPr>
        <w:t>филиала ПАО «ТрансКонтейнер» на Горьковской железной дороге</w:t>
      </w:r>
      <w:r w:rsidRPr="00C0298F">
        <w:rPr>
          <w:color w:val="000000"/>
          <w:szCs w:val="28"/>
          <w:shd w:val="clear" w:color="auto" w:fill="FFFFFF"/>
        </w:rPr>
        <w:t xml:space="preserve"> от </w:t>
      </w:r>
      <w:r>
        <w:rPr>
          <w:color w:val="000000"/>
          <w:szCs w:val="28"/>
          <w:shd w:val="clear" w:color="auto" w:fill="FFFFFF"/>
        </w:rPr>
        <w:t>02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марта</w:t>
      </w:r>
      <w:r w:rsidRPr="00C0298F">
        <w:rPr>
          <w:color w:val="000000"/>
          <w:szCs w:val="28"/>
          <w:shd w:val="clear" w:color="auto" w:fill="FFFFFF"/>
        </w:rPr>
        <w:t xml:space="preserve"> 202</w:t>
      </w:r>
      <w:r>
        <w:rPr>
          <w:color w:val="000000"/>
          <w:szCs w:val="28"/>
          <w:shd w:val="clear" w:color="auto" w:fill="FFFFFF"/>
        </w:rPr>
        <w:t>6</w:t>
      </w:r>
      <w:r w:rsidRPr="00C0298F">
        <w:rPr>
          <w:color w:val="000000"/>
          <w:szCs w:val="28"/>
          <w:shd w:val="clear" w:color="auto" w:fill="FFFFFF"/>
        </w:rPr>
        <w:t xml:space="preserve"> г. № </w:t>
      </w:r>
      <w:r>
        <w:rPr>
          <w:color w:val="000000"/>
          <w:szCs w:val="28"/>
          <w:shd w:val="clear" w:color="auto" w:fill="FFFFFF"/>
        </w:rPr>
        <w:t>1</w:t>
      </w:r>
      <w:r w:rsidRPr="00C0298F">
        <w:rPr>
          <w:color w:val="000000"/>
          <w:szCs w:val="28"/>
          <w:shd w:val="clear" w:color="auto" w:fill="FFFFFF"/>
        </w:rPr>
        <w:t xml:space="preserve">/КК проводит переторжку по </w:t>
      </w:r>
      <w:r w:rsidRPr="00FC55FC">
        <w:rPr>
          <w:szCs w:val="28"/>
        </w:rPr>
        <w:t>открыто</w:t>
      </w:r>
      <w:r>
        <w:rPr>
          <w:szCs w:val="28"/>
        </w:rPr>
        <w:t>му</w:t>
      </w:r>
      <w:r w:rsidRPr="00FC55FC">
        <w:rPr>
          <w:szCs w:val="28"/>
        </w:rPr>
        <w:t xml:space="preserve"> конкурс</w:t>
      </w:r>
      <w:r>
        <w:rPr>
          <w:szCs w:val="28"/>
        </w:rPr>
        <w:t>у</w:t>
      </w:r>
      <w:r w:rsidRPr="00FC55FC">
        <w:rPr>
          <w:szCs w:val="28"/>
        </w:rPr>
        <w:t xml:space="preserve"> в электронной форме № ОКэ-НКПГОРЬК-26-0001 по предмету закупки «Услуги по комплексной уборке в здании и прилегающей территории Заказчика – офис аппарата управления филиала ПАО «ТрансКонтейнер» на Горьковской железной дороге, расположенный по адресу: г. Н. Новгород, Московское шоссе, д. 17 А, а также помещений зданий контейнерного терминала Костариха филиала ПАО «ТрансКонтейнер» на Горьковской железной дороге, расположенного по адресу: г. Н. Новгород, ул. Актюбинская, д. 17 М» </w:t>
      </w:r>
      <w:r>
        <w:t xml:space="preserve"> </w:t>
      </w:r>
      <w:r w:rsidRPr="00C0298F">
        <w:rPr>
          <w:color w:val="000000"/>
          <w:szCs w:val="28"/>
          <w:shd w:val="clear" w:color="auto" w:fill="FFFFFF"/>
        </w:rPr>
        <w:t xml:space="preserve">путем </w:t>
      </w:r>
      <w:r w:rsidRPr="00803759">
        <w:rPr>
          <w:color w:val="000000"/>
          <w:szCs w:val="28"/>
          <w:shd w:val="clear" w:color="auto" w:fill="FFFFFF"/>
        </w:rPr>
        <w:t xml:space="preserve">улучшения участниками </w:t>
      </w:r>
      <w:r w:rsidRPr="00FC55FC">
        <w:rPr>
          <w:szCs w:val="28"/>
        </w:rPr>
        <w:t xml:space="preserve">ценовых предложений, условий </w:t>
      </w:r>
      <w:proofErr w:type="spellStart"/>
      <w:r w:rsidRPr="00FC55FC">
        <w:rPr>
          <w:szCs w:val="28"/>
        </w:rPr>
        <w:t>оплаты.</w:t>
      </w:r>
      <w:r w:rsidRPr="00803759">
        <w:rPr>
          <w:color w:val="000000"/>
          <w:szCs w:val="28"/>
          <w:shd w:val="clear" w:color="auto" w:fill="FFFFFF"/>
        </w:rPr>
        <w:t>и</w:t>
      </w:r>
      <w:proofErr w:type="spellEnd"/>
      <w:r w:rsidRPr="00803759">
        <w:rPr>
          <w:color w:val="000000"/>
          <w:szCs w:val="28"/>
          <w:shd w:val="clear" w:color="auto" w:fill="FFFFFF"/>
        </w:rPr>
        <w:t xml:space="preserve"> при условии</w:t>
      </w:r>
      <w:r w:rsidRPr="00A629F7">
        <w:rPr>
          <w:color w:val="000000"/>
          <w:szCs w:val="28"/>
          <w:shd w:val="clear" w:color="auto" w:fill="FFFFFF"/>
        </w:rPr>
        <w:t xml:space="preserve"> сохранения остальных положений заявки участников без изменений.</w:t>
      </w:r>
    </w:p>
    <w:p w14:paraId="5EA2CB68" w14:textId="518B9DB8" w:rsidR="000037CF" w:rsidRPr="00A629F7" w:rsidRDefault="000037CF" w:rsidP="000037CF">
      <w:pPr>
        <w:pStyle w:val="17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</w:t>
      </w:r>
      <w:r w:rsidRPr="000037CF">
        <w:rPr>
          <w:color w:val="000000"/>
          <w:szCs w:val="28"/>
          <w:shd w:val="clear" w:color="auto" w:fill="FFFFFF"/>
        </w:rPr>
        <w:t>филиала ПАО «ТрансКонтейнер» на Горьковской железной дороге</w:t>
      </w:r>
      <w:r w:rsidRPr="00A629F7">
        <w:rPr>
          <w:szCs w:val="28"/>
        </w:rPr>
        <w:t xml:space="preserve"> принято в соответствии с подпунктом 3.7.7 пункта 3.7 документации о закупке и главой 10 Положения о закупках.</w:t>
      </w:r>
    </w:p>
    <w:p w14:paraId="26623CEF" w14:textId="77777777" w:rsidR="000037CF" w:rsidRPr="00A629F7" w:rsidRDefault="000037CF" w:rsidP="000037CF">
      <w:pPr>
        <w:pStyle w:val="17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14:paraId="21C862BC" w14:textId="77777777" w:rsidR="000037CF" w:rsidRPr="00A629F7" w:rsidRDefault="000037CF" w:rsidP="000037CF">
      <w:pPr>
        <w:pStyle w:val="17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14:paraId="497530AD" w14:textId="2FD942AD" w:rsidR="000037CF" w:rsidRDefault="000037CF" w:rsidP="000037CF">
      <w:pPr>
        <w:pStyle w:val="17"/>
        <w:suppressAutoHyphens/>
        <w:rPr>
          <w:b/>
          <w:szCs w:val="28"/>
        </w:rPr>
      </w:pPr>
    </w:p>
    <w:p w14:paraId="3CDFBAEB" w14:textId="6E129B91" w:rsidR="000037CF" w:rsidRDefault="000037CF" w:rsidP="000037CF">
      <w:pPr>
        <w:pStyle w:val="17"/>
        <w:suppressAutoHyphens/>
        <w:rPr>
          <w:b/>
          <w:szCs w:val="28"/>
        </w:rPr>
      </w:pPr>
    </w:p>
    <w:p w14:paraId="5AE6ED7B" w14:textId="68315F6C" w:rsidR="000037CF" w:rsidRDefault="000037CF" w:rsidP="000037CF">
      <w:pPr>
        <w:pStyle w:val="17"/>
        <w:suppressAutoHyphens/>
        <w:rPr>
          <w:b/>
          <w:szCs w:val="28"/>
        </w:rPr>
      </w:pPr>
    </w:p>
    <w:p w14:paraId="4926A6F9" w14:textId="6AE07825" w:rsidR="000037CF" w:rsidRDefault="000037CF" w:rsidP="000037CF">
      <w:pPr>
        <w:pStyle w:val="17"/>
        <w:suppressAutoHyphens/>
        <w:rPr>
          <w:b/>
          <w:szCs w:val="28"/>
        </w:rPr>
      </w:pPr>
    </w:p>
    <w:p w14:paraId="406E0D8A" w14:textId="77777777" w:rsidR="000037CF" w:rsidRPr="00A629F7" w:rsidRDefault="000037CF" w:rsidP="000037CF">
      <w:pPr>
        <w:pStyle w:val="17"/>
        <w:suppressAutoHyphens/>
        <w:rPr>
          <w:b/>
          <w:szCs w:val="28"/>
        </w:rPr>
      </w:pPr>
    </w:p>
    <w:p w14:paraId="21813370" w14:textId="77777777" w:rsidR="000037CF" w:rsidRPr="00A629F7" w:rsidRDefault="000037CF" w:rsidP="000037CF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lastRenderedPageBreak/>
        <w:t>Информация о форме и порядке проведения переторжки</w:t>
      </w:r>
    </w:p>
    <w:p w14:paraId="749F06FB" w14:textId="77777777" w:rsidR="000037CF" w:rsidRPr="00A629F7" w:rsidRDefault="000037CF" w:rsidP="000037CF">
      <w:pPr>
        <w:ind w:firstLine="720"/>
        <w:jc w:val="both"/>
        <w:rPr>
          <w:b/>
          <w:sz w:val="28"/>
          <w:szCs w:val="28"/>
        </w:rPr>
      </w:pPr>
    </w:p>
    <w:p w14:paraId="13DBCD56" w14:textId="77777777" w:rsidR="000037CF" w:rsidRPr="00A629F7" w:rsidRDefault="000037CF" w:rsidP="000037CF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14:paraId="72612359" w14:textId="77777777" w:rsidR="000037CF" w:rsidRPr="00A629F7" w:rsidRDefault="000037CF" w:rsidP="000037CF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</w:r>
    </w:p>
    <w:p w14:paraId="1395F5A3" w14:textId="77777777" w:rsidR="000037CF" w:rsidRPr="00A629F7" w:rsidRDefault="000037CF" w:rsidP="000037CF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14:paraId="7AFD1BB1" w14:textId="77777777" w:rsidR="000037CF" w:rsidRPr="00A629F7" w:rsidRDefault="000037CF" w:rsidP="000037CF">
      <w:pPr>
        <w:ind w:firstLine="720"/>
        <w:jc w:val="both"/>
        <w:rPr>
          <w:b/>
          <w:sz w:val="28"/>
          <w:szCs w:val="28"/>
        </w:rPr>
      </w:pPr>
    </w:p>
    <w:p w14:paraId="5B1C5F51" w14:textId="77777777" w:rsidR="000037CF" w:rsidRPr="00A629F7" w:rsidRDefault="000037CF" w:rsidP="000037CF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14:paraId="6A8196BE" w14:textId="77777777" w:rsidR="000037CF" w:rsidRPr="00A629F7" w:rsidRDefault="000037CF" w:rsidP="000037CF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14:paraId="0880DB95" w14:textId="77777777" w:rsidR="000037CF" w:rsidRPr="00A629F7" w:rsidRDefault="000037CF" w:rsidP="000037CF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14:paraId="52748D76" w14:textId="77777777" w:rsidR="000037CF" w:rsidRPr="00A629F7" w:rsidRDefault="000037CF" w:rsidP="000037CF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11" w:history="1">
        <w:r w:rsidRPr="00A629F7">
          <w:rPr>
            <w:rStyle w:val="afa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fa"/>
            <w:snapToGrid w:val="0"/>
            <w:sz w:val="28"/>
            <w:szCs w:val="28"/>
          </w:rPr>
          <w:t>://</w:t>
        </w:r>
        <w:proofErr w:type="spellStart"/>
        <w:r w:rsidRPr="00A629F7">
          <w:rPr>
            <w:rStyle w:val="afa"/>
            <w:snapToGrid w:val="0"/>
            <w:sz w:val="28"/>
            <w:szCs w:val="28"/>
            <w:lang w:val="en-US"/>
          </w:rPr>
          <w:t>otc</w:t>
        </w:r>
        <w:proofErr w:type="spellEnd"/>
        <w:r w:rsidRPr="00A629F7">
          <w:rPr>
            <w:rStyle w:val="afa"/>
            <w:snapToGrid w:val="0"/>
            <w:sz w:val="28"/>
            <w:szCs w:val="28"/>
          </w:rPr>
          <w:t>.</w:t>
        </w:r>
        <w:proofErr w:type="spellStart"/>
        <w:r w:rsidRPr="00A629F7">
          <w:rPr>
            <w:rStyle w:val="afa"/>
            <w:snapToGrid w:val="0"/>
            <w:sz w:val="28"/>
            <w:szCs w:val="28"/>
            <w:lang w:val="en-US"/>
          </w:rPr>
          <w:t>ru</w:t>
        </w:r>
        <w:proofErr w:type="spellEnd"/>
        <w:r w:rsidRPr="00A629F7">
          <w:rPr>
            <w:rStyle w:val="afa"/>
            <w:snapToGrid w:val="0"/>
            <w:sz w:val="28"/>
            <w:szCs w:val="28"/>
          </w:rPr>
          <w:t>/</w:t>
        </w:r>
        <w:r w:rsidRPr="00A629F7">
          <w:rPr>
            <w:rStyle w:val="afa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14:paraId="5C63D9C2" w14:textId="77777777" w:rsidR="000037CF" w:rsidRPr="00A629F7" w:rsidRDefault="000037CF" w:rsidP="000037CF">
      <w:pPr>
        <w:ind w:firstLine="720"/>
        <w:jc w:val="both"/>
        <w:rPr>
          <w:sz w:val="28"/>
          <w:szCs w:val="28"/>
        </w:rPr>
      </w:pPr>
    </w:p>
    <w:p w14:paraId="7DA5C4E9" w14:textId="77777777" w:rsidR="000037CF" w:rsidRPr="00A629F7" w:rsidRDefault="000037CF" w:rsidP="000037CF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14:paraId="5B800BE3" w14:textId="77777777" w:rsidR="000037CF" w:rsidRPr="00630D8B" w:rsidRDefault="000037CF" w:rsidP="000037CF">
      <w:pPr>
        <w:ind w:firstLine="720"/>
        <w:jc w:val="both"/>
        <w:rPr>
          <w:rStyle w:val="afa"/>
          <w:sz w:val="28"/>
          <w:szCs w:val="28"/>
        </w:rPr>
      </w:pPr>
      <w:hyperlink r:id="rId12" w:history="1">
        <w:r w:rsidRPr="00983A90">
          <w:rPr>
            <w:rStyle w:val="afa"/>
            <w:sz w:val="28"/>
            <w:szCs w:val="28"/>
          </w:rPr>
          <w:t>Zakupki-URL@trcont.ru</w:t>
        </w:r>
      </w:hyperlink>
    </w:p>
    <w:p w14:paraId="098913A9" w14:textId="54E5DA89" w:rsidR="000037CF" w:rsidRPr="00C0298F" w:rsidRDefault="000037CF" w:rsidP="000037CF">
      <w:pPr>
        <w:ind w:firstLine="720"/>
        <w:jc w:val="both"/>
        <w:rPr>
          <w:rFonts w:eastAsia="Arial"/>
          <w:sz w:val="28"/>
          <w:szCs w:val="28"/>
        </w:rPr>
      </w:pPr>
      <w:r w:rsidRPr="00C0298F">
        <w:rPr>
          <w:sz w:val="28"/>
          <w:szCs w:val="28"/>
        </w:rPr>
        <w:t xml:space="preserve">Телефон: </w:t>
      </w:r>
      <w:r w:rsidRPr="00C0298F">
        <w:rPr>
          <w:rFonts w:eastAsia="Arial"/>
          <w:sz w:val="28"/>
          <w:szCs w:val="28"/>
        </w:rPr>
        <w:t>+7(495)7881717(</w:t>
      </w:r>
      <w:r>
        <w:rPr>
          <w:rFonts w:eastAsia="Arial"/>
          <w:sz w:val="28"/>
          <w:szCs w:val="28"/>
        </w:rPr>
        <w:t>4</w:t>
      </w:r>
      <w:r>
        <w:rPr>
          <w:rFonts w:eastAsia="Arial"/>
          <w:sz w:val="28"/>
          <w:szCs w:val="28"/>
        </w:rPr>
        <w:t>05</w:t>
      </w:r>
      <w:r>
        <w:rPr>
          <w:rFonts w:eastAsia="Arial"/>
          <w:sz w:val="28"/>
          <w:szCs w:val="28"/>
        </w:rPr>
        <w:t>1</w:t>
      </w:r>
      <w:r w:rsidRPr="00C0298F">
        <w:rPr>
          <w:rFonts w:eastAsia="Arial"/>
          <w:sz w:val="28"/>
          <w:szCs w:val="28"/>
        </w:rPr>
        <w:t>)</w:t>
      </w:r>
    </w:p>
    <w:p w14:paraId="6AC3EE51" w14:textId="77777777" w:rsidR="000037CF" w:rsidRPr="00C0298F" w:rsidRDefault="000037CF" w:rsidP="000037CF">
      <w:pPr>
        <w:ind w:firstLine="720"/>
        <w:jc w:val="both"/>
        <w:rPr>
          <w:b/>
          <w:bCs/>
          <w:sz w:val="28"/>
          <w:szCs w:val="28"/>
        </w:rPr>
      </w:pPr>
    </w:p>
    <w:p w14:paraId="799A94E8" w14:textId="77777777" w:rsidR="000037CF" w:rsidRPr="00A629F7" w:rsidRDefault="000037CF" w:rsidP="000037CF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14:paraId="3A4F6F4F" w14:textId="77777777" w:rsidR="000037CF" w:rsidRPr="00A629F7" w:rsidRDefault="000037CF" w:rsidP="000037CF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14:paraId="146DFA40" w14:textId="5C6009C1" w:rsidR="000037CF" w:rsidRPr="00C75D87" w:rsidRDefault="000037CF" w:rsidP="000037CF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proofErr w:type="gramStart"/>
      <w:r w:rsidR="0069572F">
        <w:rPr>
          <w:color w:val="000000"/>
          <w:sz w:val="28"/>
          <w:szCs w:val="28"/>
        </w:rPr>
        <w:t>13</w:t>
      </w:r>
      <w:r w:rsidRPr="00C75D87">
        <w:rPr>
          <w:color w:val="000000"/>
          <w:sz w:val="28"/>
          <w:szCs w:val="28"/>
        </w:rPr>
        <w:t xml:space="preserve">»  </w:t>
      </w:r>
      <w:r w:rsidR="0069572F">
        <w:rPr>
          <w:color w:val="000000"/>
          <w:sz w:val="28"/>
          <w:szCs w:val="28"/>
        </w:rPr>
        <w:t>марта</w:t>
      </w:r>
      <w:proofErr w:type="gramEnd"/>
      <w:r w:rsidRPr="00C75D87">
        <w:rPr>
          <w:color w:val="000000"/>
          <w:sz w:val="28"/>
          <w:szCs w:val="28"/>
        </w:rPr>
        <w:t xml:space="preserve"> 2026 г. 14 час. 00 мин.</w:t>
      </w:r>
    </w:p>
    <w:p w14:paraId="5A2626D7" w14:textId="77777777" w:rsidR="000037CF" w:rsidRPr="00C75D87" w:rsidRDefault="000037CF" w:rsidP="000037CF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13" w:history="1">
        <w:r w:rsidRPr="00C75D87">
          <w:rPr>
            <w:rStyle w:val="afa"/>
            <w:snapToGrid w:val="0"/>
            <w:color w:val="000000"/>
            <w:sz w:val="28"/>
            <w:szCs w:val="28"/>
            <w:lang w:val="en-US"/>
          </w:rPr>
          <w:t>http</w:t>
        </w:r>
        <w:r w:rsidRPr="00C75D87">
          <w:rPr>
            <w:rStyle w:val="afa"/>
            <w:snapToGrid w:val="0"/>
            <w:color w:val="000000"/>
            <w:sz w:val="28"/>
            <w:szCs w:val="28"/>
          </w:rPr>
          <w:t>://</w:t>
        </w:r>
        <w:proofErr w:type="spellStart"/>
        <w:r w:rsidRPr="00C75D87">
          <w:rPr>
            <w:rStyle w:val="afa"/>
            <w:snapToGrid w:val="0"/>
            <w:color w:val="000000"/>
            <w:sz w:val="28"/>
            <w:szCs w:val="28"/>
            <w:lang w:val="en-US"/>
          </w:rPr>
          <w:t>otc</w:t>
        </w:r>
        <w:proofErr w:type="spellEnd"/>
        <w:r w:rsidRPr="00C75D87">
          <w:rPr>
            <w:rStyle w:val="afa"/>
            <w:snapToGrid w:val="0"/>
            <w:color w:val="000000"/>
            <w:sz w:val="28"/>
            <w:szCs w:val="28"/>
          </w:rPr>
          <w:t>.</w:t>
        </w:r>
        <w:proofErr w:type="spellStart"/>
        <w:r w:rsidRPr="00C75D87">
          <w:rPr>
            <w:rStyle w:val="afa"/>
            <w:snapToGrid w:val="0"/>
            <w:color w:val="000000"/>
            <w:sz w:val="28"/>
            <w:szCs w:val="28"/>
            <w:lang w:val="en-US"/>
          </w:rPr>
          <w:t>ru</w:t>
        </w:r>
        <w:proofErr w:type="spellEnd"/>
        <w:r w:rsidRPr="00C75D87">
          <w:rPr>
            <w:rStyle w:val="afa"/>
            <w:snapToGrid w:val="0"/>
            <w:color w:val="000000"/>
            <w:sz w:val="28"/>
            <w:szCs w:val="28"/>
          </w:rPr>
          <w:t>/</w:t>
        </w:r>
        <w:r w:rsidRPr="00C75D87">
          <w:rPr>
            <w:rStyle w:val="afa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C75D87">
        <w:rPr>
          <w:color w:val="000000"/>
          <w:sz w:val="28"/>
          <w:szCs w:val="28"/>
        </w:rPr>
        <w:t>).</w:t>
      </w:r>
    </w:p>
    <w:p w14:paraId="04ACEBC9" w14:textId="77777777" w:rsidR="000037CF" w:rsidRPr="00C75D87" w:rsidRDefault="000037CF" w:rsidP="000037CF">
      <w:pPr>
        <w:ind w:firstLine="720"/>
        <w:jc w:val="both"/>
        <w:rPr>
          <w:b/>
          <w:color w:val="000000"/>
          <w:sz w:val="28"/>
          <w:szCs w:val="28"/>
        </w:rPr>
      </w:pPr>
      <w:r w:rsidRPr="00C75D8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14:paraId="78DE4426" w14:textId="2A3ABC80" w:rsidR="000037CF" w:rsidRPr="00C75D87" w:rsidRDefault="000037CF" w:rsidP="000037CF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r w:rsidR="0069572F">
        <w:rPr>
          <w:color w:val="000000"/>
          <w:sz w:val="28"/>
          <w:szCs w:val="28"/>
        </w:rPr>
        <w:t>16</w:t>
      </w:r>
      <w:r w:rsidRPr="00C75D87">
        <w:rPr>
          <w:color w:val="000000"/>
          <w:sz w:val="28"/>
          <w:szCs w:val="28"/>
        </w:rPr>
        <w:t xml:space="preserve">» </w:t>
      </w:r>
      <w:r w:rsidR="0069572F">
        <w:rPr>
          <w:color w:val="000000"/>
          <w:sz w:val="28"/>
          <w:szCs w:val="28"/>
        </w:rPr>
        <w:t>марта</w:t>
      </w:r>
      <w:r w:rsidRPr="00C75D87">
        <w:rPr>
          <w:color w:val="000000"/>
          <w:sz w:val="28"/>
          <w:szCs w:val="28"/>
        </w:rPr>
        <w:t xml:space="preserve"> 2026 г. 1</w:t>
      </w:r>
      <w:r w:rsidR="0069572F">
        <w:rPr>
          <w:color w:val="000000"/>
          <w:sz w:val="28"/>
          <w:szCs w:val="28"/>
        </w:rPr>
        <w:t>4</w:t>
      </w:r>
      <w:r w:rsidRPr="00C75D87">
        <w:rPr>
          <w:color w:val="000000"/>
          <w:sz w:val="28"/>
          <w:szCs w:val="28"/>
        </w:rPr>
        <w:t xml:space="preserve"> час. 00 мин.</w:t>
      </w:r>
    </w:p>
    <w:p w14:paraId="72122B70" w14:textId="69D92563" w:rsidR="000037CF" w:rsidRPr="00C75D87" w:rsidRDefault="00580F7F" w:rsidP="000037CF">
      <w:pPr>
        <w:ind w:firstLine="720"/>
        <w:jc w:val="both"/>
        <w:rPr>
          <w:sz w:val="28"/>
          <w:szCs w:val="28"/>
        </w:rPr>
      </w:pPr>
      <w:r w:rsidRPr="00580F7F">
        <w:rPr>
          <w:rFonts w:eastAsia="Arial"/>
          <w:sz w:val="28"/>
          <w:szCs w:val="28"/>
        </w:rPr>
        <w:t>603116, г. Нижний Новгород, Московское шоссе,</w:t>
      </w:r>
      <w:r>
        <w:rPr>
          <w:rFonts w:eastAsia="Arial"/>
          <w:sz w:val="28"/>
          <w:szCs w:val="28"/>
        </w:rPr>
        <w:t xml:space="preserve"> </w:t>
      </w:r>
      <w:r w:rsidRPr="00580F7F">
        <w:rPr>
          <w:rFonts w:eastAsia="Arial"/>
          <w:sz w:val="28"/>
          <w:szCs w:val="28"/>
        </w:rPr>
        <w:t>17А</w:t>
      </w:r>
      <w:r>
        <w:rPr>
          <w:rFonts w:eastAsia="Arial"/>
          <w:sz w:val="28"/>
          <w:szCs w:val="28"/>
        </w:rPr>
        <w:t>.</w:t>
      </w:r>
    </w:p>
    <w:p w14:paraId="3E194D71" w14:textId="77777777" w:rsidR="000037CF" w:rsidRPr="00C75D87" w:rsidRDefault="000037CF" w:rsidP="000037CF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Информация о ходе рассмотрения предложений не подлежит разглашению.</w:t>
      </w:r>
    </w:p>
    <w:p w14:paraId="6BBCCC3A" w14:textId="77777777" w:rsidR="000037CF" w:rsidRPr="00C75D87" w:rsidRDefault="000037CF" w:rsidP="000037CF">
      <w:pPr>
        <w:ind w:firstLine="720"/>
        <w:jc w:val="both"/>
        <w:rPr>
          <w:b/>
          <w:sz w:val="28"/>
          <w:szCs w:val="28"/>
        </w:rPr>
      </w:pPr>
      <w:r w:rsidRPr="00C75D87">
        <w:rPr>
          <w:b/>
          <w:sz w:val="28"/>
          <w:szCs w:val="28"/>
        </w:rPr>
        <w:t>Подведение итогов</w:t>
      </w:r>
    </w:p>
    <w:p w14:paraId="44F3C7A7" w14:textId="48F354C6" w:rsidR="000037CF" w:rsidRPr="00C75D87" w:rsidRDefault="000037CF" w:rsidP="000037CF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C75D87">
        <w:rPr>
          <w:sz w:val="28"/>
          <w:szCs w:val="28"/>
        </w:rPr>
        <w:t>Не позднее «</w:t>
      </w:r>
      <w:r w:rsidR="0069572F">
        <w:rPr>
          <w:sz w:val="28"/>
          <w:szCs w:val="28"/>
        </w:rPr>
        <w:t>31</w:t>
      </w:r>
      <w:r w:rsidRPr="00C75D87">
        <w:rPr>
          <w:sz w:val="28"/>
          <w:szCs w:val="28"/>
        </w:rPr>
        <w:t xml:space="preserve">» </w:t>
      </w:r>
      <w:r w:rsidR="0069572F">
        <w:rPr>
          <w:sz w:val="28"/>
          <w:szCs w:val="28"/>
        </w:rPr>
        <w:t>марта</w:t>
      </w:r>
      <w:r w:rsidRPr="00C75D87">
        <w:rPr>
          <w:sz w:val="28"/>
          <w:szCs w:val="28"/>
        </w:rPr>
        <w:t xml:space="preserve"> 2026 г. 14 час. 00 мин.</w:t>
      </w:r>
    </w:p>
    <w:p w14:paraId="573F31CD" w14:textId="21237F58" w:rsidR="000037CF" w:rsidRPr="00A629F7" w:rsidRDefault="000037CF" w:rsidP="000037CF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 xml:space="preserve">Место: </w:t>
      </w:r>
      <w:r w:rsidR="00580F7F" w:rsidRPr="00580F7F">
        <w:rPr>
          <w:rFonts w:eastAsia="Arial"/>
          <w:sz w:val="28"/>
          <w:szCs w:val="28"/>
        </w:rPr>
        <w:t>603116, г. Нижний Новгород, Московское шоссе,</w:t>
      </w:r>
      <w:r w:rsidR="00580F7F">
        <w:rPr>
          <w:rFonts w:eastAsia="Arial"/>
          <w:sz w:val="28"/>
          <w:szCs w:val="28"/>
        </w:rPr>
        <w:t xml:space="preserve"> </w:t>
      </w:r>
      <w:r w:rsidR="00580F7F" w:rsidRPr="00580F7F">
        <w:rPr>
          <w:rFonts w:eastAsia="Arial"/>
          <w:sz w:val="28"/>
          <w:szCs w:val="28"/>
        </w:rPr>
        <w:t>17А</w:t>
      </w:r>
      <w:r w:rsidR="00580F7F">
        <w:rPr>
          <w:rFonts w:eastAsia="Arial"/>
          <w:sz w:val="28"/>
          <w:szCs w:val="28"/>
        </w:rPr>
        <w:t>.</w:t>
      </w:r>
    </w:p>
    <w:p w14:paraId="2E666109" w14:textId="77777777" w:rsidR="000037CF" w:rsidRPr="00A629F7" w:rsidRDefault="000037CF" w:rsidP="000037CF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14:paraId="6D96F62B" w14:textId="77777777" w:rsidR="000037CF" w:rsidRPr="00A629F7" w:rsidRDefault="000037CF" w:rsidP="000037CF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0037CF" w:rsidRPr="00A629F7" w14:paraId="044800A8" w14:textId="77777777" w:rsidTr="004976B4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CCD3" w14:textId="77777777" w:rsidR="000037CF" w:rsidRDefault="000037CF" w:rsidP="004976B4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  <w:p w14:paraId="5CB4A892" w14:textId="71B079F4" w:rsidR="000037CF" w:rsidRPr="00A629F7" w:rsidRDefault="000037CF" w:rsidP="004976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80F7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» </w:t>
            </w:r>
            <w:r w:rsidR="00580F7F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2026г.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D4CA" w14:textId="77777777" w:rsidR="000037CF" w:rsidRPr="00A629F7" w:rsidRDefault="000037CF" w:rsidP="004976B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14:paraId="22F70481" w14:textId="77777777" w:rsidR="000037CF" w:rsidRPr="008931BA" w:rsidRDefault="000037CF" w:rsidP="004976B4">
            <w:pPr>
              <w:jc w:val="right"/>
              <w:rPr>
                <w:sz w:val="28"/>
                <w:szCs w:val="28"/>
              </w:rPr>
            </w:pPr>
          </w:p>
          <w:p w14:paraId="79748866" w14:textId="77777777" w:rsidR="000037CF" w:rsidRPr="008931BA" w:rsidRDefault="000037CF" w:rsidP="004976B4">
            <w:pPr>
              <w:jc w:val="right"/>
              <w:rPr>
                <w:sz w:val="28"/>
                <w:szCs w:val="28"/>
              </w:rPr>
            </w:pPr>
          </w:p>
          <w:p w14:paraId="06A1B276" w14:textId="77777777" w:rsidR="000037CF" w:rsidRPr="00A629F7" w:rsidRDefault="000037CF" w:rsidP="004976B4">
            <w:pPr>
              <w:jc w:val="right"/>
              <w:rPr>
                <w:sz w:val="28"/>
                <w:szCs w:val="28"/>
              </w:rPr>
            </w:pPr>
          </w:p>
        </w:tc>
      </w:tr>
    </w:tbl>
    <w:p w14:paraId="1B18D8DA" w14:textId="77777777" w:rsidR="000037CF" w:rsidRDefault="000037CF" w:rsidP="000037CF">
      <w:pPr>
        <w:pStyle w:val="a4"/>
        <w:shd w:val="clear" w:color="auto" w:fill="FFFFFF"/>
        <w:ind w:left="6096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>Приложение №1 к приглашению</w:t>
      </w:r>
    </w:p>
    <w:p w14:paraId="2343E8E1" w14:textId="77777777" w:rsidR="000037CF" w:rsidRDefault="000037CF" w:rsidP="000037CF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14:paraId="539033E5" w14:textId="73CBDBBB" w:rsidR="00E13846" w:rsidRDefault="00E13846" w:rsidP="000037CF">
      <w:pPr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3766"/>
        <w:gridCol w:w="3038"/>
      </w:tblGrid>
      <w:tr w:rsidR="0069572F" w:rsidRPr="00FC55FC" w14:paraId="48DB6C64" w14:textId="77777777" w:rsidTr="0069572F">
        <w:trPr>
          <w:trHeight w:val="851"/>
        </w:trPr>
        <w:tc>
          <w:tcPr>
            <w:tcW w:w="2268" w:type="dxa"/>
            <w:vAlign w:val="center"/>
          </w:tcPr>
          <w:p w14:paraId="603C55CD" w14:textId="77777777" w:rsidR="0069572F" w:rsidRPr="00FC55FC" w:rsidRDefault="0069572F" w:rsidP="004976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55FC">
              <w:rPr>
                <w:rFonts w:ascii="Times New Roman" w:hAnsi="Times New Roman" w:cs="Times New Roman"/>
                <w:b/>
              </w:rPr>
              <w:t>Наименование претендента</w:t>
            </w:r>
          </w:p>
        </w:tc>
        <w:tc>
          <w:tcPr>
            <w:tcW w:w="3766" w:type="dxa"/>
            <w:vAlign w:val="center"/>
          </w:tcPr>
          <w:p w14:paraId="05B495C8" w14:textId="77777777" w:rsidR="0069572F" w:rsidRPr="00FC55FC" w:rsidRDefault="0069572F" w:rsidP="004976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55FC">
              <w:rPr>
                <w:rFonts w:ascii="Times New Roman" w:hAnsi="Times New Roman" w:cs="Times New Roman"/>
                <w:b/>
              </w:rPr>
              <w:t>Цена договора, в рублях без учета НДС</w:t>
            </w:r>
          </w:p>
        </w:tc>
        <w:tc>
          <w:tcPr>
            <w:tcW w:w="3038" w:type="dxa"/>
            <w:vAlign w:val="center"/>
          </w:tcPr>
          <w:p w14:paraId="7BE2DA3E" w14:textId="2AB67BA7" w:rsidR="0069572F" w:rsidRPr="00FC55FC" w:rsidRDefault="0069572F" w:rsidP="004976B4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572F">
              <w:rPr>
                <w:rFonts w:ascii="Times New Roman" w:hAnsi="Times New Roman" w:cs="Times New Roman"/>
                <w:b/>
                <w:bCs/>
              </w:rPr>
              <w:t>Условия оплат</w:t>
            </w:r>
            <w:bookmarkStart w:id="0" w:name="_GoBack"/>
            <w:bookmarkEnd w:id="0"/>
            <w:r w:rsidRPr="0069572F">
              <w:rPr>
                <w:rFonts w:ascii="Times New Roman" w:hAnsi="Times New Roman" w:cs="Times New Roman"/>
                <w:b/>
                <w:bCs/>
              </w:rPr>
              <w:t>ы</w:t>
            </w:r>
          </w:p>
        </w:tc>
      </w:tr>
      <w:tr w:rsidR="0069572F" w:rsidRPr="00FC55FC" w14:paraId="2D48E250" w14:textId="77777777" w:rsidTr="0069572F">
        <w:trPr>
          <w:trHeight w:val="4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1983" w14:textId="77777777" w:rsidR="0069572F" w:rsidRPr="00FC55FC" w:rsidRDefault="0069572F" w:rsidP="0069572F">
            <w:pPr>
              <w:contextualSpacing/>
              <w:rPr>
                <w:rFonts w:ascii="Times New Roman" w:hAnsi="Times New Roman" w:cs="Times New Roman"/>
              </w:rPr>
            </w:pPr>
            <w:r w:rsidRPr="00FC55FC">
              <w:rPr>
                <w:rFonts w:ascii="Times New Roman" w:hAnsi="Times New Roman" w:cs="Times New Roman"/>
                <w:b/>
              </w:rPr>
              <w:t>Претендент № 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09E" w14:textId="77777777" w:rsidR="0069572F" w:rsidRPr="00FC55FC" w:rsidRDefault="0069572F" w:rsidP="0069572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5FC">
              <w:rPr>
                <w:rFonts w:ascii="Times New Roman" w:hAnsi="Times New Roman" w:cs="Times New Roman"/>
              </w:rPr>
              <w:t>4 416 000,00 (четыре миллиона четыреста шестнадцать тысяч рублей 00 копеек)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18EB" w14:textId="6CF161B0" w:rsidR="0069572F" w:rsidRPr="00FC55FC" w:rsidRDefault="0069572F" w:rsidP="0069572F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949">
              <w:t>30 (тридцать) календарных дней после подписания Сторонами УПД</w:t>
            </w:r>
          </w:p>
        </w:tc>
      </w:tr>
      <w:tr w:rsidR="0069572F" w:rsidRPr="00FC55FC" w14:paraId="5FEF2265" w14:textId="77777777" w:rsidTr="0069572F">
        <w:trPr>
          <w:trHeight w:val="4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E2F7" w14:textId="77777777" w:rsidR="0069572F" w:rsidRPr="00FC55FC" w:rsidRDefault="0069572F" w:rsidP="0069572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55FC">
              <w:rPr>
                <w:rFonts w:ascii="Times New Roman" w:hAnsi="Times New Roman" w:cs="Times New Roman"/>
                <w:b/>
              </w:rPr>
              <w:t>Претендент № 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F7A6" w14:textId="77777777" w:rsidR="0069572F" w:rsidRPr="00FC55FC" w:rsidRDefault="0069572F" w:rsidP="006957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FC55FC">
              <w:rPr>
                <w:rFonts w:ascii="Times New Roman" w:hAnsi="Times New Roman" w:cs="Times New Roman"/>
              </w:rPr>
              <w:t>5 496 000,00 (пять миллионов четыреста девяносто шесть тысяч рублей 00 копеек)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D95" w14:textId="6DB3E08B" w:rsidR="0069572F" w:rsidRPr="00FC55FC" w:rsidRDefault="0069572F" w:rsidP="0069572F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949">
              <w:t>30 (тридцать) календарных дней после подписания Сторонами УПД</w:t>
            </w:r>
          </w:p>
        </w:tc>
      </w:tr>
      <w:tr w:rsidR="0069572F" w:rsidRPr="00FC55FC" w14:paraId="31ED95A9" w14:textId="77777777" w:rsidTr="0069572F">
        <w:trPr>
          <w:trHeight w:val="4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71A7" w14:textId="77777777" w:rsidR="0069572F" w:rsidRPr="00FC55FC" w:rsidRDefault="0069572F" w:rsidP="0069572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55FC">
              <w:rPr>
                <w:rFonts w:ascii="Times New Roman" w:hAnsi="Times New Roman" w:cs="Times New Roman"/>
                <w:b/>
              </w:rPr>
              <w:t>Претендент № 3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0243" w14:textId="77777777" w:rsidR="0069572F" w:rsidRPr="00FC55FC" w:rsidRDefault="0069572F" w:rsidP="006957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FC55FC">
              <w:rPr>
                <w:rFonts w:ascii="Times New Roman" w:hAnsi="Times New Roman" w:cs="Times New Roman"/>
              </w:rPr>
              <w:t>5 845 955,52 (пять миллионов восемьсот сорок пять тысяч девятьсот пятьдесят пять рублей 52 копейки)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A214" w14:textId="09E0C727" w:rsidR="0069572F" w:rsidRPr="00FC55FC" w:rsidRDefault="0069572F" w:rsidP="0069572F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949">
              <w:t>30 (тридцать) календарных дней после подписания Сторонами УПД</w:t>
            </w:r>
          </w:p>
        </w:tc>
      </w:tr>
      <w:tr w:rsidR="0069572F" w:rsidRPr="00FC55FC" w14:paraId="71A159E8" w14:textId="77777777" w:rsidTr="0069572F">
        <w:trPr>
          <w:trHeight w:val="4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3750" w14:textId="77777777" w:rsidR="0069572F" w:rsidRPr="00FC55FC" w:rsidRDefault="0069572F" w:rsidP="0069572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55FC">
              <w:rPr>
                <w:rFonts w:ascii="Times New Roman" w:hAnsi="Times New Roman" w:cs="Times New Roman"/>
                <w:b/>
              </w:rPr>
              <w:t>Претендент № 4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88B" w14:textId="77777777" w:rsidR="0069572F" w:rsidRPr="00FC55FC" w:rsidRDefault="0069572F" w:rsidP="006957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FC55FC">
              <w:rPr>
                <w:rFonts w:ascii="Times New Roman" w:hAnsi="Times New Roman" w:cs="Times New Roman"/>
              </w:rPr>
              <w:t>5 160 000,00 (пять миллионов сто шестьдесят тысяч рублей 00 копеек)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EF97" w14:textId="5F3EA5DC" w:rsidR="0069572F" w:rsidRPr="00FC55FC" w:rsidRDefault="0069572F" w:rsidP="0069572F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949">
              <w:t>30 (тридцать) календарных дней после подписания Сторонами УПД</w:t>
            </w:r>
          </w:p>
        </w:tc>
      </w:tr>
      <w:tr w:rsidR="0069572F" w:rsidRPr="00FC55FC" w14:paraId="3136E60E" w14:textId="77777777" w:rsidTr="0069572F">
        <w:trPr>
          <w:trHeight w:val="4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0241" w14:textId="77777777" w:rsidR="0069572F" w:rsidRPr="00FC55FC" w:rsidRDefault="0069572F" w:rsidP="0069572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C55FC">
              <w:rPr>
                <w:rFonts w:ascii="Times New Roman" w:hAnsi="Times New Roman" w:cs="Times New Roman"/>
                <w:b/>
              </w:rPr>
              <w:t>Претендент № 5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63E2" w14:textId="77777777" w:rsidR="0069572F" w:rsidRPr="00FC55FC" w:rsidRDefault="0069572F" w:rsidP="0069572F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FC55FC">
              <w:rPr>
                <w:rFonts w:ascii="Times New Roman" w:hAnsi="Times New Roman" w:cs="Times New Roman"/>
              </w:rPr>
              <w:t>5 497 207,92 (пять миллионов четыреста девяносто семь тысяч двести семь рублей 92 копейки)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100" w14:textId="5AF10819" w:rsidR="0069572F" w:rsidRPr="00FC55FC" w:rsidRDefault="0069572F" w:rsidP="0069572F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949">
              <w:t>3</w:t>
            </w:r>
            <w:r>
              <w:t>5</w:t>
            </w:r>
            <w:r w:rsidRPr="00404949">
              <w:t xml:space="preserve"> (тридцать</w:t>
            </w:r>
            <w:r>
              <w:t xml:space="preserve"> пять</w:t>
            </w:r>
            <w:r w:rsidRPr="00404949">
              <w:t>) календарных дней после подписания Сторонами УПД</w:t>
            </w:r>
          </w:p>
        </w:tc>
      </w:tr>
    </w:tbl>
    <w:p w14:paraId="6EB992A9" w14:textId="77777777" w:rsidR="0069572F" w:rsidRPr="00E13846" w:rsidRDefault="0069572F" w:rsidP="000037CF">
      <w:pPr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9572F" w:rsidRPr="00E13846" w:rsidSect="00E06560">
      <w:headerReference w:type="first" r:id="rId14"/>
      <w:pgSz w:w="11900" w:h="16840"/>
      <w:pgMar w:top="851" w:right="737" w:bottom="568" w:left="1418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70B0A" w14:textId="77777777" w:rsidR="00BB53D4" w:rsidRDefault="00BB53D4">
      <w:r>
        <w:separator/>
      </w:r>
    </w:p>
  </w:endnote>
  <w:endnote w:type="continuationSeparator" w:id="0">
    <w:p w14:paraId="4003B7C9" w14:textId="77777777" w:rsidR="00BB53D4" w:rsidRDefault="00BB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F3B14" w14:textId="77777777" w:rsidR="00BB53D4" w:rsidRDefault="00BB53D4">
      <w:r>
        <w:separator/>
      </w:r>
    </w:p>
  </w:footnote>
  <w:footnote w:type="continuationSeparator" w:id="0">
    <w:p w14:paraId="45BD2070" w14:textId="77777777" w:rsidR="00BB53D4" w:rsidRDefault="00BB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70715" w14:textId="77C4173A" w:rsidR="00772D38" w:rsidRDefault="005B3587" w:rsidP="002055C9">
    <w:pPr>
      <w:pStyle w:val="a0"/>
      <w:tabs>
        <w:tab w:val="left" w:pos="4820"/>
      </w:tabs>
      <w:rPr>
        <w:sz w:val="28"/>
        <w:lang w:val="uk-UA"/>
      </w:rPr>
    </w:pPr>
    <w:r>
      <w:rPr>
        <w:rFonts w:ascii="Times New Roman" w:hAnsi="Times New Roman" w:cs="Times New Roman"/>
        <w:noProof/>
        <w:color w:val="004687"/>
        <w:sz w:val="36"/>
        <w:szCs w:val="36"/>
        <w:lang w:eastAsia="ru-RU"/>
      </w:rPr>
      <w:drawing>
        <wp:anchor distT="0" distB="0" distL="114300" distR="114300" simplePos="0" relativeHeight="251659264" behindDoc="1" locked="0" layoutInCell="1" allowOverlap="1" wp14:anchorId="38BBF2F3" wp14:editId="2D60A325">
          <wp:simplePos x="0" y="0"/>
          <wp:positionH relativeFrom="column">
            <wp:posOffset>310101</wp:posOffset>
          </wp:positionH>
          <wp:positionV relativeFrom="paragraph">
            <wp:posOffset>-635</wp:posOffset>
          </wp:positionV>
          <wp:extent cx="2664000" cy="648000"/>
          <wp:effectExtent l="0" t="0" r="3175" b="0"/>
          <wp:wrapNone/>
          <wp:docPr id="6" name="Рисунок 6" descr="Transcontain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ranscontainer_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40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70716" w14:textId="77777777" w:rsidR="00772D38" w:rsidRDefault="00772D38">
    <w:pPr>
      <w:pStyle w:val="a0"/>
      <w:rPr>
        <w:sz w:val="28"/>
        <w:lang w:val="uk-UA"/>
      </w:rPr>
    </w:pPr>
  </w:p>
  <w:p w14:paraId="21170717" w14:textId="5A906AA4" w:rsidR="00772D38" w:rsidRDefault="00772D38">
    <w:pPr>
      <w:pStyle w:val="a0"/>
      <w:rPr>
        <w:sz w:val="28"/>
        <w:lang w:val="uk-UA"/>
      </w:rPr>
    </w:pPr>
  </w:p>
  <w:p w14:paraId="5605D931" w14:textId="77777777" w:rsidR="001B6C58" w:rsidRDefault="001B6C58" w:rsidP="00193762">
    <w:pPr>
      <w:tabs>
        <w:tab w:val="left" w:pos="5040"/>
      </w:tabs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14:paraId="41B6E6B6" w14:textId="101D7B0A" w:rsidR="002055C9" w:rsidRDefault="002055C9" w:rsidP="00193762">
    <w:pPr>
      <w:tabs>
        <w:tab w:val="left" w:pos="5040"/>
      </w:tabs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ФИЛИАЛ</w:t>
    </w:r>
    <w:r w:rsidR="00193762">
      <w:rPr>
        <w:rFonts w:ascii="Times New Roman" w:hAnsi="Times New Roman" w:cs="Times New Roman"/>
        <w:b/>
        <w:bCs/>
        <w:color w:val="072FA0"/>
        <w:lang w:val="uk-UA"/>
      </w:rPr>
      <w:t xml:space="preserve"> </w:t>
    </w:r>
  </w:p>
  <w:p w14:paraId="21170719" w14:textId="6527C4D4" w:rsidR="00772D38" w:rsidRDefault="002055C9" w:rsidP="00193762">
    <w:pPr>
      <w:tabs>
        <w:tab w:val="left" w:pos="5040"/>
      </w:tabs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ПАО «ТРАНСКОНТЕЙНЕР»</w:t>
    </w:r>
  </w:p>
  <w:p w14:paraId="46D8AE72" w14:textId="77777777" w:rsidR="00193762" w:rsidRDefault="002055C9" w:rsidP="00193762">
    <w:pPr>
      <w:tabs>
        <w:tab w:val="left" w:pos="5040"/>
      </w:tabs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 xml:space="preserve">НА </w:t>
    </w:r>
    <w:r w:rsidR="00ED69D9">
      <w:rPr>
        <w:rFonts w:ascii="Times New Roman" w:hAnsi="Times New Roman" w:cs="Times New Roman"/>
        <w:b/>
        <w:bCs/>
        <w:color w:val="072FA0"/>
        <w:lang w:val="uk-UA"/>
      </w:rPr>
      <w:t>ГОРЬКОВСКОЙ</w:t>
    </w:r>
    <w:r>
      <w:rPr>
        <w:rFonts w:ascii="Times New Roman" w:hAnsi="Times New Roman" w:cs="Times New Roman"/>
        <w:b/>
        <w:bCs/>
        <w:color w:val="072FA0"/>
        <w:lang w:val="uk-UA"/>
      </w:rPr>
      <w:t xml:space="preserve"> </w:t>
    </w:r>
  </w:p>
  <w:p w14:paraId="2117071B" w14:textId="173E29DD" w:rsidR="00772D38" w:rsidRDefault="002055C9" w:rsidP="00193762">
    <w:pPr>
      <w:tabs>
        <w:tab w:val="left" w:pos="5040"/>
      </w:tabs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ЖЕЛЕЗНОЙ ДОРОГЕ</w:t>
    </w:r>
  </w:p>
  <w:p w14:paraId="2117071C" w14:textId="77777777" w:rsidR="00772D38" w:rsidRDefault="00772D38" w:rsidP="00193762">
    <w:pPr>
      <w:ind w:right="4536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14:paraId="3395FE2B" w14:textId="185E12AB" w:rsidR="00BB1581" w:rsidRDefault="002055C9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ул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. </w:t>
    </w: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Московское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</w:t>
    </w: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шоссе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д. 17А, </w:t>
    </w:r>
  </w:p>
  <w:p w14:paraId="2117071D" w14:textId="2D98F076" w:rsidR="00772D38" w:rsidRDefault="002055C9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г. </w:t>
    </w:r>
    <w:proofErr w:type="spellStart"/>
    <w:r w:rsidR="00BB1581">
      <w:rPr>
        <w:rFonts w:ascii="Times New Roman" w:hAnsi="Times New Roman" w:cs="Times New Roman"/>
        <w:color w:val="072FA0"/>
        <w:sz w:val="22"/>
        <w:szCs w:val="22"/>
        <w:lang w:val="uk-UA"/>
      </w:rPr>
      <w:t>Нижний</w:t>
    </w:r>
    <w:proofErr w:type="spellEnd"/>
    <w:r w:rsidR="00BB1581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Новгород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</w:t>
    </w:r>
    <w:r w:rsidR="00BB1581">
      <w:rPr>
        <w:rFonts w:ascii="Times New Roman" w:hAnsi="Times New Roman" w:cs="Times New Roman"/>
        <w:color w:val="072FA0"/>
        <w:sz w:val="22"/>
        <w:szCs w:val="22"/>
        <w:lang w:val="uk-UA"/>
      </w:rPr>
      <w:t>603116</w:t>
    </w:r>
  </w:p>
  <w:p w14:paraId="2117071E" w14:textId="1331267A" w:rsidR="00772D38" w:rsidRDefault="002055C9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Тел</w:t>
    </w:r>
    <w:r w:rsidR="00B170AA">
      <w:rPr>
        <w:rFonts w:ascii="Times New Roman" w:hAnsi="Times New Roman" w:cs="Times New Roman"/>
        <w:color w:val="072FA0"/>
        <w:sz w:val="22"/>
        <w:szCs w:val="22"/>
        <w:lang w:val="uk-UA"/>
      </w:rPr>
      <w:t>ефон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>: +7 (</w:t>
    </w:r>
    <w:r w:rsidR="00BB1581">
      <w:rPr>
        <w:rFonts w:ascii="Times New Roman" w:hAnsi="Times New Roman" w:cs="Times New Roman"/>
        <w:color w:val="072FA0"/>
        <w:sz w:val="22"/>
        <w:szCs w:val="22"/>
        <w:lang w:val="uk-UA"/>
      </w:rPr>
      <w:t>800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) </w:t>
    </w:r>
    <w:r w:rsidR="00BB1581">
      <w:rPr>
        <w:rFonts w:ascii="Times New Roman" w:hAnsi="Times New Roman" w:cs="Times New Roman"/>
        <w:color w:val="072FA0"/>
        <w:sz w:val="22"/>
        <w:szCs w:val="22"/>
        <w:lang w:val="uk-UA"/>
      </w:rPr>
      <w:t>100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>-</w:t>
    </w:r>
    <w:r w:rsidR="00BB1581">
      <w:rPr>
        <w:rFonts w:ascii="Times New Roman" w:hAnsi="Times New Roman" w:cs="Times New Roman"/>
        <w:color w:val="072FA0"/>
        <w:sz w:val="22"/>
        <w:szCs w:val="22"/>
        <w:lang w:val="uk-UA"/>
      </w:rPr>
      <w:t>22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>-</w:t>
    </w:r>
    <w:r w:rsidR="00BB1581">
      <w:rPr>
        <w:rFonts w:ascii="Times New Roman" w:hAnsi="Times New Roman" w:cs="Times New Roman"/>
        <w:color w:val="072FA0"/>
        <w:sz w:val="22"/>
        <w:szCs w:val="22"/>
        <w:lang w:val="uk-UA"/>
      </w:rPr>
      <w:t>20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br/>
    </w:r>
    <w:r w:rsidR="00B170AA">
      <w:rPr>
        <w:rFonts w:ascii="Times New Roman" w:hAnsi="Times New Roman" w:cs="Times New Roman"/>
        <w:color w:val="072FA0"/>
        <w:sz w:val="22"/>
        <w:szCs w:val="22"/>
        <w:lang w:val="en-US"/>
      </w:rPr>
      <w:t>E</w:t>
    </w:r>
    <w:r w:rsidR="00B170AA" w:rsidRPr="001E32F5">
      <w:rPr>
        <w:rFonts w:ascii="Times New Roman" w:hAnsi="Times New Roman" w:cs="Times New Roman"/>
        <w:color w:val="072FA0"/>
        <w:sz w:val="22"/>
        <w:szCs w:val="22"/>
      </w:rPr>
      <w:t>-</w:t>
    </w:r>
    <w:r w:rsidR="00B170AA" w:rsidRPr="002055C9">
      <w:rPr>
        <w:rFonts w:ascii="Times New Roman" w:hAnsi="Times New Roman" w:cs="Times New Roman"/>
        <w:color w:val="072FA0"/>
        <w:sz w:val="22"/>
        <w:szCs w:val="22"/>
        <w:lang w:val="en-US"/>
      </w:rPr>
      <w:t>mail</w:t>
    </w:r>
    <w:r w:rsidRPr="002055C9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: </w:t>
    </w:r>
    <w:proofErr w:type="spellStart"/>
    <w:r w:rsidR="00BB1581" w:rsidRPr="002055C9">
      <w:rPr>
        <w:rFonts w:ascii="Times New Roman" w:hAnsi="Times New Roman" w:cs="Times New Roman"/>
        <w:color w:val="072FA0"/>
        <w:sz w:val="22"/>
        <w:szCs w:val="22"/>
        <w:lang w:val="en-US"/>
      </w:rPr>
      <w:t>gzd</w:t>
    </w:r>
    <w:proofErr w:type="spellEnd"/>
    <w:r w:rsidRPr="002055C9">
      <w:rPr>
        <w:rFonts w:ascii="Times New Roman" w:hAnsi="Times New Roman" w:cs="Times New Roman"/>
        <w:color w:val="072FA0"/>
        <w:sz w:val="22"/>
        <w:szCs w:val="22"/>
        <w:lang w:val="uk-UA"/>
      </w:rPr>
      <w:t>@</w:t>
    </w:r>
    <w:proofErr w:type="spellStart"/>
    <w:r w:rsidRPr="002055C9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proofErr w:type="spellEnd"/>
    <w:r w:rsidRPr="002055C9">
      <w:rPr>
        <w:rFonts w:ascii="Times New Roman" w:hAnsi="Times New Roman" w:cs="Times New Roman"/>
        <w:color w:val="072FA0"/>
        <w:sz w:val="22"/>
        <w:szCs w:val="22"/>
        <w:lang w:val="uk-UA"/>
      </w:rPr>
      <w:t>.</w:t>
    </w:r>
    <w:proofErr w:type="spellStart"/>
    <w:r w:rsidRPr="002055C9">
      <w:rPr>
        <w:rFonts w:ascii="Times New Roman" w:hAnsi="Times New Roman" w:cs="Times New Roman"/>
        <w:color w:val="072FA0"/>
        <w:sz w:val="22"/>
        <w:szCs w:val="22"/>
        <w:lang w:val="uk-UA"/>
      </w:rPr>
      <w:t>com</w:t>
    </w:r>
    <w:proofErr w:type="spellEnd"/>
  </w:p>
  <w:p w14:paraId="2117071F" w14:textId="731F2521" w:rsidR="00772D38" w:rsidRDefault="002055C9" w:rsidP="00193762">
    <w:pPr>
      <w:tabs>
        <w:tab w:val="left" w:pos="4962"/>
      </w:tabs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94421386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ОГРН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1067746341024</w:t>
    </w:r>
  </w:p>
  <w:p w14:paraId="21170720" w14:textId="136D4D0A" w:rsidR="00772D38" w:rsidRDefault="002055C9" w:rsidP="00193762">
    <w:pPr>
      <w:tabs>
        <w:tab w:val="left" w:pos="4253"/>
      </w:tabs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en-US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ИНН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7708591995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КПП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997650001</w:t>
    </w:r>
  </w:p>
  <w:p w14:paraId="21170721" w14:textId="34AAC9CA" w:rsidR="00772D38" w:rsidRDefault="00772D38">
    <w:pPr>
      <w:pStyle w:val="a0"/>
      <w:ind w:right="50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46ACD"/>
    <w:multiLevelType w:val="hybridMultilevel"/>
    <w:tmpl w:val="0B507BB2"/>
    <w:lvl w:ilvl="0" w:tplc="5E2C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62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38"/>
    <w:rsid w:val="000037CF"/>
    <w:rsid w:val="00005AE5"/>
    <w:rsid w:val="000913D4"/>
    <w:rsid w:val="00095104"/>
    <w:rsid w:val="000E6EB2"/>
    <w:rsid w:val="0011044D"/>
    <w:rsid w:val="00152298"/>
    <w:rsid w:val="0018076D"/>
    <w:rsid w:val="0019265A"/>
    <w:rsid w:val="00193762"/>
    <w:rsid w:val="001B09E7"/>
    <w:rsid w:val="001B6C58"/>
    <w:rsid w:val="001D0E0B"/>
    <w:rsid w:val="001D2732"/>
    <w:rsid w:val="001E32F5"/>
    <w:rsid w:val="002055C9"/>
    <w:rsid w:val="002146BC"/>
    <w:rsid w:val="00223476"/>
    <w:rsid w:val="00260132"/>
    <w:rsid w:val="0026358D"/>
    <w:rsid w:val="002778DA"/>
    <w:rsid w:val="002A172E"/>
    <w:rsid w:val="002A689F"/>
    <w:rsid w:val="002C4B85"/>
    <w:rsid w:val="002C7062"/>
    <w:rsid w:val="002D0190"/>
    <w:rsid w:val="002F2E2E"/>
    <w:rsid w:val="00305E66"/>
    <w:rsid w:val="00311F4F"/>
    <w:rsid w:val="00312514"/>
    <w:rsid w:val="00325F12"/>
    <w:rsid w:val="00344C9A"/>
    <w:rsid w:val="00364CC6"/>
    <w:rsid w:val="00371AA6"/>
    <w:rsid w:val="003A27D0"/>
    <w:rsid w:val="003C4738"/>
    <w:rsid w:val="003E4164"/>
    <w:rsid w:val="004324E1"/>
    <w:rsid w:val="0045003D"/>
    <w:rsid w:val="00456B70"/>
    <w:rsid w:val="00464E6B"/>
    <w:rsid w:val="00466414"/>
    <w:rsid w:val="00482CE9"/>
    <w:rsid w:val="004A2297"/>
    <w:rsid w:val="004D0F53"/>
    <w:rsid w:val="004E2125"/>
    <w:rsid w:val="00505AB5"/>
    <w:rsid w:val="005259BE"/>
    <w:rsid w:val="00550C59"/>
    <w:rsid w:val="00580F7F"/>
    <w:rsid w:val="005A3CD4"/>
    <w:rsid w:val="005A402F"/>
    <w:rsid w:val="005B0913"/>
    <w:rsid w:val="005B3587"/>
    <w:rsid w:val="005B5EC6"/>
    <w:rsid w:val="006219F2"/>
    <w:rsid w:val="00671077"/>
    <w:rsid w:val="006757BB"/>
    <w:rsid w:val="0069572F"/>
    <w:rsid w:val="006B2837"/>
    <w:rsid w:val="006B631A"/>
    <w:rsid w:val="006B6CE1"/>
    <w:rsid w:val="006D7CA7"/>
    <w:rsid w:val="00710DD2"/>
    <w:rsid w:val="00711AE7"/>
    <w:rsid w:val="00717A98"/>
    <w:rsid w:val="00725504"/>
    <w:rsid w:val="007275F2"/>
    <w:rsid w:val="00730AB5"/>
    <w:rsid w:val="0073243B"/>
    <w:rsid w:val="007346E5"/>
    <w:rsid w:val="0074653B"/>
    <w:rsid w:val="0076409C"/>
    <w:rsid w:val="00772D38"/>
    <w:rsid w:val="007D30D3"/>
    <w:rsid w:val="00820B85"/>
    <w:rsid w:val="00857693"/>
    <w:rsid w:val="008A52D1"/>
    <w:rsid w:val="008E2D43"/>
    <w:rsid w:val="009268D1"/>
    <w:rsid w:val="00974DAE"/>
    <w:rsid w:val="009806F9"/>
    <w:rsid w:val="00983C1B"/>
    <w:rsid w:val="00990E03"/>
    <w:rsid w:val="009B054E"/>
    <w:rsid w:val="009B7B77"/>
    <w:rsid w:val="009D296B"/>
    <w:rsid w:val="009D3A69"/>
    <w:rsid w:val="009E0E55"/>
    <w:rsid w:val="009F20D3"/>
    <w:rsid w:val="00A0228B"/>
    <w:rsid w:val="00A06766"/>
    <w:rsid w:val="00A21D12"/>
    <w:rsid w:val="00A3584C"/>
    <w:rsid w:val="00A47171"/>
    <w:rsid w:val="00A50031"/>
    <w:rsid w:val="00AE3AD3"/>
    <w:rsid w:val="00AF1F8A"/>
    <w:rsid w:val="00B170AA"/>
    <w:rsid w:val="00B27F99"/>
    <w:rsid w:val="00B4641D"/>
    <w:rsid w:val="00B51D49"/>
    <w:rsid w:val="00BB0DB5"/>
    <w:rsid w:val="00BB1581"/>
    <w:rsid w:val="00BB53D4"/>
    <w:rsid w:val="00BD676E"/>
    <w:rsid w:val="00BE2DF8"/>
    <w:rsid w:val="00BE4E82"/>
    <w:rsid w:val="00C112AD"/>
    <w:rsid w:val="00C25812"/>
    <w:rsid w:val="00C33264"/>
    <w:rsid w:val="00C763D3"/>
    <w:rsid w:val="00C845B5"/>
    <w:rsid w:val="00CB581F"/>
    <w:rsid w:val="00CD0B7C"/>
    <w:rsid w:val="00CE1E42"/>
    <w:rsid w:val="00CE6092"/>
    <w:rsid w:val="00CF4977"/>
    <w:rsid w:val="00D03CC8"/>
    <w:rsid w:val="00D24603"/>
    <w:rsid w:val="00D54F54"/>
    <w:rsid w:val="00D56C3D"/>
    <w:rsid w:val="00DB23B8"/>
    <w:rsid w:val="00DB7343"/>
    <w:rsid w:val="00DF43A3"/>
    <w:rsid w:val="00DF4C6B"/>
    <w:rsid w:val="00DF60C1"/>
    <w:rsid w:val="00E06560"/>
    <w:rsid w:val="00E13846"/>
    <w:rsid w:val="00E377CA"/>
    <w:rsid w:val="00E436C7"/>
    <w:rsid w:val="00E85A2E"/>
    <w:rsid w:val="00ED54AB"/>
    <w:rsid w:val="00ED69D9"/>
    <w:rsid w:val="00FC1889"/>
    <w:rsid w:val="00FC778F"/>
    <w:rsid w:val="00FD11DA"/>
    <w:rsid w:val="00FD3B73"/>
    <w:rsid w:val="00FE09CB"/>
    <w:rsid w:val="00F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706ED"/>
  <w15:docId w15:val="{C466290D-1578-4992-9DF7-1F015705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a"/>
    <w:link w:val="a5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1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1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1"/>
    <w:link w:val="ad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0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</w:style>
  <w:style w:type="character" w:styleId="afa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b">
    <w:name w:val="Table Grid"/>
    <w:basedOn w:val="a2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d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 w:cs="Times New Roman"/>
      <w:b/>
      <w:sz w:val="28"/>
    </w:rPr>
  </w:style>
  <w:style w:type="character" w:customStyle="1" w:styleId="14">
    <w:name w:val="Текст_14"/>
    <w:basedOn w:val="a1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character" w:styleId="afe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customStyle="1" w:styleId="15">
    <w:name w:val="Стиль1"/>
    <w:basedOn w:val="a0"/>
    <w:link w:val="16"/>
    <w:qFormat/>
    <w:pPr>
      <w:tabs>
        <w:tab w:val="clear" w:pos="9355"/>
      </w:tabs>
      <w:spacing w:after="120"/>
    </w:pPr>
  </w:style>
  <w:style w:type="character" w:customStyle="1" w:styleId="16">
    <w:name w:val="Стиль1 Знак"/>
    <w:basedOn w:val="af7"/>
    <w:link w:val="15"/>
  </w:style>
  <w:style w:type="paragraph" w:styleId="aff3">
    <w:name w:val="Body Text"/>
    <w:basedOn w:val="a"/>
    <w:link w:val="aff4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4">
    <w:name w:val="Основной текст Знак"/>
    <w:basedOn w:val="a1"/>
    <w:link w:val="aff3"/>
    <w:uiPriority w:val="1"/>
    <w:rPr>
      <w:rFonts w:ascii="Times New Roman" w:eastAsia="Times New Roman" w:hAnsi="Times New Roman" w:cs="Times New Roman"/>
      <w:sz w:val="28"/>
      <w:szCs w:val="28"/>
    </w:rPr>
  </w:style>
  <w:style w:type="character" w:styleId="aff5">
    <w:name w:val="Unresolved Mention"/>
    <w:basedOn w:val="a1"/>
    <w:uiPriority w:val="99"/>
    <w:semiHidden/>
    <w:unhideWhenUsed/>
    <w:rsid w:val="003E4164"/>
    <w:rPr>
      <w:color w:val="605E5C"/>
      <w:shd w:val="clear" w:color="auto" w:fill="E1DFDD"/>
    </w:rPr>
  </w:style>
  <w:style w:type="paragraph" w:styleId="aff6">
    <w:name w:val="Body Text Indent"/>
    <w:basedOn w:val="a"/>
    <w:link w:val="aff7"/>
    <w:uiPriority w:val="99"/>
    <w:semiHidden/>
    <w:unhideWhenUsed/>
    <w:rsid w:val="002D0190"/>
    <w:pPr>
      <w:spacing w:after="120"/>
      <w:ind w:left="283"/>
    </w:pPr>
  </w:style>
  <w:style w:type="character" w:customStyle="1" w:styleId="aff7">
    <w:name w:val="Основной текст с отступом Знак"/>
    <w:basedOn w:val="a1"/>
    <w:link w:val="aff6"/>
    <w:uiPriority w:val="99"/>
    <w:semiHidden/>
    <w:rsid w:val="002D0190"/>
  </w:style>
  <w:style w:type="paragraph" w:customStyle="1" w:styleId="Default">
    <w:name w:val="Default"/>
    <w:rsid w:val="006B6CE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ConsPlusNonformat">
    <w:name w:val="ConsPlusNonformat"/>
    <w:rsid w:val="00550C5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8">
    <w:name w:val="Strong"/>
    <w:basedOn w:val="a1"/>
    <w:qFormat/>
    <w:rsid w:val="00550C59"/>
    <w:rPr>
      <w:b/>
      <w:bCs/>
    </w:rPr>
  </w:style>
  <w:style w:type="paragraph" w:customStyle="1" w:styleId="docdata">
    <w:name w:val="docdata"/>
    <w:aliases w:val="docy,v5,7478,bqiaagaaeyqcaaagiaiaaan1ggaabymaaaaaaaaaaaaaaaaaaaaaaaaaaaaaaaaaaaaaaaaaaaaaaaaaaaaaaaaaaaaaaaaaaaaaaaaaaaaaaaaaaaaaaaaaaaaaaaaaaaaaaaaaaaaaaaaaaaaaaaaaaaaaaaaaaaaaaaaaaaaaaaaaaaaaaaaaaaaaaaaaaaaaaaaaaaaaaaaaaaaaaaaaaaaaaaaaaaaaaaaa"/>
    <w:basedOn w:val="a"/>
    <w:rsid w:val="00CF49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f9">
    <w:name w:val="Normal (Web)"/>
    <w:basedOn w:val="a"/>
    <w:uiPriority w:val="99"/>
    <w:semiHidden/>
    <w:unhideWhenUsed/>
    <w:rsid w:val="00CF49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7">
    <w:name w:val="Обычный1"/>
    <w:link w:val="Normal"/>
    <w:qFormat/>
    <w:rsid w:val="000037CF"/>
    <w:pPr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7"/>
    <w:rsid w:val="000037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qFormat/>
    <w:locked/>
    <w:rsid w:val="0000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tc.ru/tend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kupki-URL@trcont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tc.ru/tend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AF393-9A2D-4630-BDB1-80A0539D1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EC8DDA-15C4-45A7-8488-8BF8CA9937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88BF79-2C70-4C71-867C-899A59CEA9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308AC-FA59-406F-8415-FC9F92BD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Чумбуридзе Мевлуди Рамазиевич</cp:lastModifiedBy>
  <cp:revision>3</cp:revision>
  <cp:lastPrinted>2025-12-02T10:42:00Z</cp:lastPrinted>
  <dcterms:created xsi:type="dcterms:W3CDTF">2026-03-10T06:42:00Z</dcterms:created>
  <dcterms:modified xsi:type="dcterms:W3CDTF">2026-03-10T07:14:00Z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0x0101003111EA32FAB35B46838EE3FD87315763</vt:lpwstr>
  </property>
</Properties>
</file>