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Свердловской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__________Шибаев</w:t>
            </w:r>
            <w:r>
              <w:rPr/>
              <w:t xml:space="preserve"> </w:t>
            </w:r>
            <w:r>
              <w:rPr>
                <w:rFonts w:ascii="Times New Roman" w:hAnsi="Times New Roman" w:cs="Times New Roman"/>
                <w:color w:val="#000000"/>
                <w:sz w:val="28"/>
                <w:szCs w:val="28"/>
              </w:rPr>
              <w:t> С.</w:t>
            </w:r>
            <w:r>
              <w:rPr/>
              <w:t xml:space="preserve"> </w:t>
            </w:r>
            <w:r>
              <w:rPr>
                <w:rFonts w:ascii="Times New Roman" w:hAnsi="Times New Roman" w:cs="Times New Roman"/>
                <w:color w:val="#000000"/>
                <w:sz w:val="28"/>
                <w:szCs w:val="28"/>
              </w:rPr>
              <w:t>С.</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ОК/0141-15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Капитальный</w:t>
            </w:r>
            <w:r>
              <w:rPr/>
              <w:t xml:space="preserve"> </w:t>
            </w:r>
            <w:r>
              <w:rPr>
                <w:rFonts w:ascii="Times New Roman" w:hAnsi="Times New Roman" w:cs="Times New Roman"/>
                <w:color w:val="#000000"/>
                <w:sz w:val="28"/>
                <w:szCs w:val="28"/>
              </w:rPr>
              <w:t>ремонт</w:t>
            </w:r>
            <w:r>
              <w:rPr/>
              <w:t xml:space="preserve"> </w:t>
            </w:r>
            <w:r>
              <w:rPr>
                <w:rFonts w:ascii="Times New Roman" w:hAnsi="Times New Roman" w:cs="Times New Roman"/>
                <w:color w:val="#000000"/>
                <w:sz w:val="28"/>
                <w:szCs w:val="28"/>
              </w:rPr>
              <w:t>площадки</w:t>
            </w:r>
            <w:r>
              <w:rPr/>
              <w:t xml:space="preserve"> </w:t>
            </w:r>
            <w:r>
              <w:rPr>
                <w:rFonts w:ascii="Times New Roman" w:hAnsi="Times New Roman" w:cs="Times New Roman"/>
                <w:color w:val="#000000"/>
                <w:sz w:val="28"/>
                <w:szCs w:val="28"/>
              </w:rPr>
              <w:t>асфальтобетонной</w:t>
            </w:r>
            <w:r>
              <w:rPr/>
              <w:t xml:space="preserve"> </w:t>
            </w:r>
            <w:r>
              <w:rPr>
                <w:rFonts w:ascii="Times New Roman" w:hAnsi="Times New Roman" w:cs="Times New Roman"/>
                <w:color w:val="#000000"/>
                <w:sz w:val="28"/>
                <w:szCs w:val="28"/>
              </w:rPr>
              <w:t>литер</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 (Контейнерная</w:t>
            </w:r>
            <w:r>
              <w:rPr/>
              <w:t xml:space="preserve"> </w:t>
            </w:r>
            <w:r>
              <w:rPr>
                <w:rFonts w:ascii="Times New Roman" w:hAnsi="Times New Roman" w:cs="Times New Roman"/>
                <w:color w:val="#000000"/>
                <w:sz w:val="28"/>
                <w:szCs w:val="28"/>
              </w:rPr>
              <w:t>площадка</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инв.№009/00/00000663</w:t>
            </w:r>
            <w:r>
              <w:rPr/>
              <w:t xml:space="preserve"> </w:t>
            </w:r>
            <w:r>
              <w:rPr>
                <w:rFonts w:ascii="Times New Roman" w:hAnsi="Times New Roman" w:cs="Times New Roman"/>
                <w:color w:val="#000000"/>
                <w:sz w:val="28"/>
                <w:szCs w:val="28"/>
              </w:rPr>
              <w:t>контейнерного</w:t>
            </w:r>
            <w:r>
              <w:rPr/>
              <w:t xml:space="preserve"> </w:t>
            </w:r>
            <w:r>
              <w:rPr>
                <w:rFonts w:ascii="Times New Roman" w:hAnsi="Times New Roman" w:cs="Times New Roman"/>
                <w:color w:val="#000000"/>
                <w:sz w:val="28"/>
                <w:szCs w:val="28"/>
              </w:rPr>
              <w:t>терминала</w:t>
            </w:r>
            <w:r>
              <w:rPr/>
              <w:t xml:space="preserve"> </w:t>
            </w:r>
            <w:r>
              <w:rPr>
                <w:rFonts w:ascii="Times New Roman" w:hAnsi="Times New Roman" w:cs="Times New Roman"/>
                <w:color w:val="#000000"/>
                <w:sz w:val="28"/>
                <w:szCs w:val="28"/>
              </w:rPr>
              <w:t>Екатеринбург-Товарный</w:t>
            </w:r>
            <w:r>
              <w:rPr/>
              <w:t xml:space="preserve"> </w:t>
            </w: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Свердловской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854.446"/>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pPr>
              <w:jc w:val="both"/>
              <w:ind w:firstLine="640"/>
              <w:spacing w:after="0" w:line="240" w:lineRule="auto"/>
              <w:rPr>
                <w:sz w:val="28"/>
                <w:szCs w:val="28"/>
              </w:rPr>
            </w:pPr>
            <w:r>
              <w:rPr>
                <w:rFonts w:ascii="Times New Roman" w:hAnsi="Times New Roman" w:cs="Times New Roman"/>
                <w:color w:val="#000000"/>
                <w:sz w:val="28"/>
                <w:szCs w:val="28"/>
              </w:rPr>
              <w:t>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tc>
      </w:tr>
      <w:tr>
        <w:trPr>
          <w:trHeight w:hRule="exact" w:val="2702.15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276.842"/>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trPr>
          <w:trHeight w:hRule="exact" w:val="1640.373"/>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3.2.7.</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предполагает</w:t>
            </w:r>
            <w:r>
              <w:rPr/>
              <w:t xml:space="preserve"> </w:t>
            </w:r>
            <w:r>
              <w:rPr>
                <w:rFonts w:ascii="Times New Roman" w:hAnsi="Times New Roman" w:cs="Times New Roman"/>
                <w:color w:val="#000000"/>
                <w:sz w:val="28"/>
                <w:szCs w:val="28"/>
              </w:rPr>
              <w:t>привлечение</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Финансово - коммерческому</w:t>
            </w:r>
            <w:r>
              <w:rPr/>
              <w:t xml:space="preserve"> </w:t>
            </w:r>
            <w:r>
              <w:rPr>
                <w:rFonts w:ascii="Times New Roman" w:hAnsi="Times New Roman" w:cs="Times New Roman"/>
                <w:color w:val="#000000"/>
                <w:sz w:val="28"/>
                <w:szCs w:val="28"/>
              </w:rPr>
              <w:t>предложению</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таких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оформляются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«Субподрядчики»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ОК/0141-15 на право заключения договора по предмету закупки: Капитальный ремонт площадки асфальтобетонной литер 2  (Контейнерная площадка №1) инв.№009/00/00000663 контейнерного терминала Екатеринбург-Товарный филиала ПАО "ТрансКонтейнер" на Свердловской железной дороге</w:t>
            </w:r>
          </w:p>
        </w:tc>
      </w:tr>
      <w:tr>
        <w:trPr>
          <w:trHeight w:hRule="exact" w:val="2551.7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125047, г МОСКВА, пер ОРУЖЕЙНЫЙ, дом 19.</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Иван Вячеславович Корепанов, тел. +7 (495) 7881717, доб.: 5050, электронный адрес KorepanovIV@trcont.ru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826.14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Корепанов Иван Вячеславович тел +7(343) 380-12-45 (доб. 5050), электронный адрес KorepanovIV@trcont.ru, факс +7 (343)380-12-00 (доб.5007)</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27 мая 2015 г.</w:t>
            </w:r>
          </w:p>
        </w:tc>
      </w:tr>
      <w:tr>
        <w:trPr>
          <w:trHeight w:hRule="exact" w:val="5445.76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889.13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7000000,00 руб. (Семь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17.06.2015г. по адресу, указанному в пункте 2 настоящей Информационной карты.</w:t>
            </w:r>
          </w:p>
        </w:tc>
      </w:tr>
      <w:tr>
        <w:trPr>
          <w:trHeight w:hRule="exact" w:val="855.392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18.06.2015г. в 14 часов 00 минут местного времени по адресу, указанному в пункте 2 настоящей Информационной карты.</w:t>
            </w:r>
          </w:p>
        </w:tc>
      </w:tr>
      <w:tr>
        <w:trPr>
          <w:trHeight w:hRule="exact" w:val="1126.021"/>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23.06.2015г. в 14 часов 00 минут местного времени по адресу, указанному в пункте 2 настоящей Информационной карты.</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аппарата управления ПАО «ТрансКонтейнер»</w:t>
            </w:r>
          </w:p>
          <w:p>
            <w:pPr>
              <w:jc w:val="left"/>
              <w:ind w:firstLine="0"/>
              <w:spacing w:after="0" w:line="240" w:lineRule="auto"/>
              <w:rPr>
                <w:sz w:val="24"/>
                <w:szCs w:val="24"/>
              </w:rPr>
            </w:pPr>
            <w:r>
              <w:rPr>
                <w:rFonts w:ascii="Times New Roman" w:hAnsi="Times New Roman" w:cs="Times New Roman"/>
                <w:color w:val="#000000"/>
                <w:sz w:val="24"/>
                <w:szCs w:val="24"/>
              </w:rPr>
              <w:t> Адрес: 125047, Москва г, Оружейный пер, дом 19</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14.07.2015г. в 14 часов 00 минут местного времени по адресу, указанному в пункте 9 Информационной карты.</w:t>
            </w:r>
          </w:p>
        </w:tc>
      </w:tr>
      <w:tr>
        <w:trPr>
          <w:trHeight w:hRule="exact" w:val="2939.41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767.63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материалов, изделий, и расходов, связанных с их доставкой, а также иных расходов, связанных с выполнением работ.</w:t>
            </w:r>
          </w:p>
        </w:tc>
      </w:tr>
      <w:tr>
        <w:trPr>
          <w:trHeight w:hRule="exact" w:val="416.74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1666.83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В течение 90 календарных дней с даты заключения договора.</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Свердловская область г. Екатеринбург ул. Автомагистральная , 42.</w:t>
            </w:r>
          </w:p>
        </w:tc>
      </w:tr>
      <w:tr>
        <w:trPr>
          <w:trHeight w:hRule="exact" w:val="855.392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902"/>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096.47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опыта выполнения работ по предмету открытого конкурса стоимостью каждого договора не менее 50% от стоимости настоящего открытого конкурса</w:t>
            </w:r>
          </w:p>
        </w:tc>
      </w:tr>
      <w:tr>
        <w:trPr>
          <w:trHeight w:hRule="exact" w:val="1111.321"/>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116.31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585.0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представленное на бланке претендента и подписанное уполномоченным лицом;</w:t>
            </w:r>
          </w:p>
        </w:tc>
      </w:tr>
      <w:tr>
        <w:trPr>
          <w:trHeight w:hRule="exact" w:val="3019.08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8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7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1077.951"/>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4375.308"/>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3289.56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Согласно перечня, утвержденного приказом Минрегиона России от 30.12.2009 г. №624 наличие пунктов в СРО  2.2., 3.1., 3.2., 3.5., 25.1.,25.2.,25.4., 25.6., 25.7.</w:t>
            </w:r>
          </w:p>
        </w:tc>
      </w:tr>
      <w:tr>
        <w:trPr>
          <w:trHeight w:hRule="exact" w:val="1126.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4678"/>
        <w:gridCol w:w="1701"/>
      </w:tblGrid>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заявок</w:t>
            </w: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 </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0,55</w:t>
            </w:r>
          </w:p>
        </w:tc>
      </w:tr>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Условия оплаты  работ</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(периоды)  выполнения работ</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599.7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 предоставления гарантии качества работ</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0,05</w:t>
            </w:r>
          </w:p>
        </w:tc>
      </w:tr>
      <w:tr>
        <w:trPr>
          <w:trHeight w:hRule="exact" w:val="1140.5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Опыт участника (общая стоимость договоров, соответствующих предмету настоящего открытого конкурса за 2014 год)</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6264.55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3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60 календарных дней с даты окончания срока подачи Заявок (пункт 6 настоящей Информационной карты).</w:t>
            </w:r>
          </w:p>
        </w:tc>
      </w:tr>
      <w:tr>
        <w:trPr>
          <w:trHeight w:hRule="exact" w:val="304.583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607"/>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