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9A" w:rsidRDefault="00B36A9A" w:rsidP="00B36A9A">
      <w:pPr>
        <w:spacing w:line="276" w:lineRule="auto"/>
        <w:ind w:firstLine="0"/>
        <w:jc w:val="center"/>
        <w:rPr>
          <w:rFonts w:eastAsiaTheme="majorEastAsia"/>
          <w:b/>
          <w:bCs/>
          <w:snapToGrid/>
          <w:szCs w:val="28"/>
          <w:lang w:eastAsia="en-US"/>
        </w:rPr>
      </w:pPr>
    </w:p>
    <w:p w:rsidR="00B36A9A" w:rsidRDefault="00B36A9A" w:rsidP="00B36A9A">
      <w:pPr>
        <w:spacing w:line="276" w:lineRule="auto"/>
        <w:ind w:firstLine="0"/>
        <w:jc w:val="center"/>
        <w:rPr>
          <w:rFonts w:eastAsiaTheme="majorEastAsia"/>
          <w:b/>
          <w:bCs/>
          <w:snapToGrid/>
          <w:szCs w:val="28"/>
          <w:lang w:eastAsia="en-US"/>
        </w:rPr>
      </w:pPr>
    </w:p>
    <w:p w:rsidR="0024584A" w:rsidRPr="0024584A" w:rsidRDefault="0024584A" w:rsidP="00B36A9A">
      <w:pPr>
        <w:spacing w:line="276" w:lineRule="auto"/>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B36A9A">
      <w:pPr>
        <w:spacing w:line="276" w:lineRule="auto"/>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proofErr w:type="gramStart"/>
      <w:r w:rsidRPr="009D7D4D">
        <w:rPr>
          <w:rFonts w:eastAsiaTheme="majorEastAsia"/>
          <w:b/>
          <w:bCs/>
          <w:snapToGrid/>
          <w:szCs w:val="28"/>
          <w:lang w:eastAsia="en-US"/>
        </w:rPr>
        <w:t>ЕП</w:t>
      </w:r>
      <w:proofErr w:type="gramEnd"/>
      <w:r w:rsidRPr="00970B55">
        <w:rPr>
          <w:rFonts w:eastAsiaTheme="majorEastAsia"/>
          <w:b/>
          <w:bCs/>
          <w:snapToGrid/>
          <w:szCs w:val="28"/>
          <w:lang w:eastAsia="en-US"/>
        </w:rPr>
        <w:t>/</w:t>
      </w:r>
      <w:r w:rsidR="00970B55" w:rsidRPr="00970B55">
        <w:rPr>
          <w:rFonts w:eastAsiaTheme="majorEastAsia"/>
          <w:b/>
          <w:bCs/>
          <w:snapToGrid/>
          <w:szCs w:val="28"/>
          <w:lang w:eastAsia="en-US"/>
        </w:rPr>
        <w:t>031/ЦКПРПК</w:t>
      </w:r>
      <w:r w:rsidRPr="00970B55">
        <w:rPr>
          <w:rFonts w:eastAsiaTheme="majorEastAsia"/>
          <w:b/>
          <w:bCs/>
          <w:snapToGrid/>
          <w:szCs w:val="28"/>
          <w:lang w:eastAsia="en-US"/>
        </w:rPr>
        <w:t>/</w:t>
      </w:r>
      <w:r w:rsidR="00970B55">
        <w:rPr>
          <w:rFonts w:eastAsiaTheme="majorEastAsia"/>
          <w:b/>
          <w:bCs/>
          <w:snapToGrid/>
          <w:szCs w:val="28"/>
          <w:lang w:eastAsia="en-US"/>
        </w:rPr>
        <w:t>0112</w:t>
      </w:r>
      <w:r w:rsidRPr="009D7D4D">
        <w:rPr>
          <w:rFonts w:eastAsiaTheme="majorEastAsia"/>
          <w:b/>
          <w:bCs/>
          <w:snapToGrid/>
          <w:szCs w:val="28"/>
          <w:lang w:eastAsia="en-US"/>
        </w:rPr>
        <w:t xml:space="preserve">  </w:t>
      </w:r>
    </w:p>
    <w:p w:rsidR="0024584A" w:rsidRPr="009D7D4D" w:rsidRDefault="0024584A" w:rsidP="00B36A9A">
      <w:pPr>
        <w:pStyle w:val="1"/>
        <w:spacing w:before="0" w:line="276" w:lineRule="auto"/>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B36A9A">
      <w:pPr>
        <w:spacing w:line="276" w:lineRule="auto"/>
        <w:ind w:firstLine="0"/>
        <w:jc w:val="center"/>
        <w:rPr>
          <w:b/>
          <w:sz w:val="32"/>
          <w:szCs w:val="32"/>
        </w:rPr>
      </w:pPr>
    </w:p>
    <w:p w:rsidR="00B36A9A" w:rsidRDefault="00B36A9A" w:rsidP="00B36A9A">
      <w:pPr>
        <w:spacing w:line="276" w:lineRule="auto"/>
        <w:ind w:firstLine="0"/>
        <w:jc w:val="center"/>
        <w:rPr>
          <w:b/>
          <w:sz w:val="32"/>
          <w:szCs w:val="32"/>
        </w:rPr>
      </w:pPr>
    </w:p>
    <w:p w:rsidR="0024584A" w:rsidRPr="00CB1C18" w:rsidRDefault="00CC5E94" w:rsidP="00B36A9A">
      <w:pPr>
        <w:spacing w:line="276" w:lineRule="auto"/>
        <w:jc w:val="both"/>
      </w:pPr>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t xml:space="preserve"> работ, оказание услуг для нужд</w:t>
      </w:r>
      <w:r w:rsidR="0024584A">
        <w:t xml:space="preserve"> </w:t>
      </w:r>
      <w:r w:rsidR="0024584A" w:rsidRPr="00CB1C18">
        <w:t xml:space="preserve">ОАО «ТрансКонтейнер» (далее – Положение о закупке),  проводит </w:t>
      </w:r>
      <w:r w:rsidR="0024584A">
        <w:t>размещение заказа</w:t>
      </w:r>
      <w:r w:rsidR="0024584A" w:rsidRPr="00CB1C18">
        <w:t xml:space="preserve"> </w:t>
      </w:r>
      <w:bookmarkStart w:id="0" w:name="_GoBack"/>
      <w:r w:rsidR="0024584A" w:rsidRPr="00CB1C18">
        <w:t xml:space="preserve">№ </w:t>
      </w:r>
      <w:proofErr w:type="gramStart"/>
      <w:r w:rsidR="0024584A">
        <w:t>ЕП</w:t>
      </w:r>
      <w:proofErr w:type="gramEnd"/>
      <w:r w:rsidR="0024584A" w:rsidRPr="00970B55">
        <w:t>/</w:t>
      </w:r>
      <w:r w:rsidR="00970B55" w:rsidRPr="00970B55">
        <w:t>031</w:t>
      </w:r>
      <w:r w:rsidR="0024584A" w:rsidRPr="00970B55">
        <w:t>/</w:t>
      </w:r>
      <w:r w:rsidR="00970B55" w:rsidRPr="00970B55">
        <w:t>ЦКПРПК</w:t>
      </w:r>
      <w:r w:rsidR="0024584A" w:rsidRPr="00970B55">
        <w:t>/</w:t>
      </w:r>
      <w:r w:rsidR="00970B55">
        <w:t>0112</w:t>
      </w:r>
      <w:r w:rsidR="0024584A" w:rsidRPr="00CB1C18">
        <w:t xml:space="preserve"> </w:t>
      </w:r>
      <w:r w:rsidR="0024584A" w:rsidRPr="009D7D4D">
        <w:t xml:space="preserve">на </w:t>
      </w:r>
      <w:bookmarkEnd w:id="0"/>
      <w:r w:rsidR="0024584A" w:rsidRPr="009D7D4D">
        <w:t xml:space="preserve">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B36A9A">
      <w:pPr>
        <w:spacing w:line="276" w:lineRule="auto"/>
        <w:jc w:val="both"/>
        <w:rPr>
          <w:b/>
        </w:rPr>
      </w:pPr>
    </w:p>
    <w:p w:rsidR="0024584A" w:rsidRDefault="0024584A" w:rsidP="00B36A9A">
      <w:pPr>
        <w:spacing w:line="276" w:lineRule="auto"/>
        <w:jc w:val="both"/>
        <w:rPr>
          <w:i/>
        </w:rPr>
      </w:pPr>
      <w:r w:rsidRPr="00CB1C18">
        <w:rPr>
          <w:b/>
        </w:rPr>
        <w:t>Заказчик</w:t>
      </w:r>
      <w:r>
        <w:rPr>
          <w:b/>
        </w:rPr>
        <w:t xml:space="preserve">: </w:t>
      </w:r>
      <w:r>
        <w:t xml:space="preserve"> </w:t>
      </w:r>
      <w:r w:rsidR="00CC5E94">
        <w:t>ПАО</w:t>
      </w:r>
      <w:r>
        <w:t xml:space="preserve"> «ТрансКонтейнер»</w:t>
      </w:r>
      <w:r w:rsidRPr="008A767E">
        <w:rPr>
          <w:i/>
        </w:rPr>
        <w:t>.</w:t>
      </w:r>
    </w:p>
    <w:p w:rsidR="0024584A" w:rsidRDefault="0024584A" w:rsidP="00B36A9A">
      <w:pPr>
        <w:spacing w:line="276" w:lineRule="auto"/>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B36A9A">
      <w:pPr>
        <w:spacing w:line="276" w:lineRule="auto"/>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B36A9A">
      <w:pPr>
        <w:spacing w:line="276" w:lineRule="auto"/>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B36A9A">
      <w:pPr>
        <w:spacing w:line="276" w:lineRule="auto"/>
        <w:jc w:val="both"/>
      </w:pPr>
    </w:p>
    <w:p w:rsidR="0024584A" w:rsidRPr="00EC1BB7" w:rsidRDefault="0024584A" w:rsidP="00B36A9A">
      <w:pPr>
        <w:spacing w:line="276" w:lineRule="auto"/>
        <w:jc w:val="both"/>
        <w:rPr>
          <w:b/>
        </w:rPr>
      </w:pPr>
      <w:r w:rsidRPr="00EC1BB7">
        <w:rPr>
          <w:b/>
        </w:rPr>
        <w:t>Контактная информация Заказчика</w:t>
      </w:r>
    </w:p>
    <w:p w:rsidR="0024584A" w:rsidRPr="00EC1BB7" w:rsidRDefault="0024584A" w:rsidP="00B36A9A">
      <w:pPr>
        <w:spacing w:line="276" w:lineRule="auto"/>
        <w:jc w:val="both"/>
      </w:pPr>
      <w:r w:rsidRPr="00EC1BB7">
        <w:t xml:space="preserve">Ф.И.О.: </w:t>
      </w:r>
      <w:r w:rsidR="00EC1BB7" w:rsidRPr="00EC1BB7">
        <w:t>Худякова Яна Владимировна</w:t>
      </w:r>
    </w:p>
    <w:p w:rsidR="00EC1BB7" w:rsidRPr="00EC1BB7" w:rsidRDefault="0024584A" w:rsidP="00B36A9A">
      <w:pPr>
        <w:spacing w:line="276" w:lineRule="auto"/>
        <w:jc w:val="both"/>
      </w:pPr>
      <w:r w:rsidRPr="00EC1BB7">
        <w:t xml:space="preserve">Адрес электронной почты: </w:t>
      </w:r>
      <w:hyperlink r:id="rId12" w:history="1">
        <w:r w:rsidR="00EC1BB7" w:rsidRPr="00EC032F">
          <w:rPr>
            <w:rStyle w:val="a6"/>
          </w:rPr>
          <w:t>KHudiakovaIAV@</w:t>
        </w:r>
        <w:r w:rsidR="00EC1BB7" w:rsidRPr="00EC032F">
          <w:rPr>
            <w:rStyle w:val="a6"/>
            <w:lang w:val="en-US"/>
          </w:rPr>
          <w:t>trcont</w:t>
        </w:r>
        <w:r w:rsidR="00EC1BB7" w:rsidRPr="00EC032F">
          <w:rPr>
            <w:rStyle w:val="a6"/>
          </w:rPr>
          <w:t>.</w:t>
        </w:r>
        <w:r w:rsidR="00EC1BB7" w:rsidRPr="00EC032F">
          <w:rPr>
            <w:rStyle w:val="a6"/>
            <w:lang w:val="en-US"/>
          </w:rPr>
          <w:t>ru</w:t>
        </w:r>
      </w:hyperlink>
    </w:p>
    <w:p w:rsidR="0024584A" w:rsidRDefault="0024584A" w:rsidP="00B36A9A">
      <w:pPr>
        <w:spacing w:line="276" w:lineRule="auto"/>
        <w:jc w:val="both"/>
      </w:pPr>
      <w:r>
        <w:t>Т</w:t>
      </w:r>
      <w:r w:rsidRPr="00C64E36">
        <w:t xml:space="preserve">елефон: </w:t>
      </w:r>
      <w:r w:rsidR="00EC1BB7" w:rsidRPr="00AF226D">
        <w:t>8-495-788-17-17, доб.17-1</w:t>
      </w:r>
      <w:r w:rsidR="00EC1BB7" w:rsidRPr="00DA49E5">
        <w:t>5</w:t>
      </w:r>
      <w:r w:rsidR="00EC1BB7">
        <w:t>.</w:t>
      </w:r>
    </w:p>
    <w:p w:rsidR="0024584A" w:rsidRDefault="0024584A" w:rsidP="00B36A9A">
      <w:pPr>
        <w:spacing w:line="276" w:lineRule="auto"/>
        <w:jc w:val="both"/>
        <w:rPr>
          <w:b/>
        </w:rPr>
      </w:pPr>
    </w:p>
    <w:p w:rsidR="0024584A" w:rsidRDefault="0024584A" w:rsidP="00B36A9A">
      <w:pPr>
        <w:spacing w:line="276" w:lineRule="auto"/>
        <w:jc w:val="both"/>
        <w:rPr>
          <w:i/>
        </w:rPr>
      </w:pPr>
      <w:r>
        <w:rPr>
          <w:b/>
        </w:rPr>
        <w:t xml:space="preserve">1. </w:t>
      </w:r>
      <w:r w:rsidRPr="003927D3">
        <w:rPr>
          <w:b/>
        </w:rPr>
        <w:t xml:space="preserve">Предмет Заказа: </w:t>
      </w:r>
      <w:r w:rsidR="00F22447">
        <w:rPr>
          <w:szCs w:val="28"/>
        </w:rPr>
        <w:t>выполнение работ по</w:t>
      </w:r>
      <w:r w:rsidR="00F22447" w:rsidRPr="00E17FDE">
        <w:rPr>
          <w:szCs w:val="28"/>
        </w:rPr>
        <w:t xml:space="preserve"> </w:t>
      </w:r>
      <w:r w:rsidR="00E80EAC">
        <w:rPr>
          <w:szCs w:val="28"/>
        </w:rPr>
        <w:t>раз</w:t>
      </w:r>
      <w:r w:rsidR="00E80EAC" w:rsidRPr="00F7153E">
        <w:rPr>
          <w:szCs w:val="28"/>
        </w:rPr>
        <w:t>работк</w:t>
      </w:r>
      <w:r w:rsidR="00E80EAC">
        <w:rPr>
          <w:szCs w:val="28"/>
        </w:rPr>
        <w:t>е</w:t>
      </w:r>
      <w:r w:rsidR="00E80EAC" w:rsidRPr="00F7153E">
        <w:rPr>
          <w:szCs w:val="28"/>
        </w:rPr>
        <w:t xml:space="preserve"> </w:t>
      </w:r>
      <w:r w:rsidR="00E80EAC">
        <w:rPr>
          <w:szCs w:val="28"/>
        </w:rPr>
        <w:t xml:space="preserve">интеграционного модуля </w:t>
      </w:r>
      <w:r w:rsidR="00F22447" w:rsidRPr="00F7153E">
        <w:rPr>
          <w:szCs w:val="28"/>
        </w:rPr>
        <w:t xml:space="preserve">программного обеспечения «Диспетчеризация и управление контейнерами и подвижным составом» </w:t>
      </w:r>
      <w:r w:rsidR="004148A3">
        <w:rPr>
          <w:szCs w:val="28"/>
        </w:rPr>
        <w:t>для</w:t>
      </w:r>
      <w:r w:rsidR="00F22447" w:rsidRPr="00F7153E">
        <w:rPr>
          <w:szCs w:val="28"/>
        </w:rPr>
        <w:t xml:space="preserve"> взаимодействия с системой планирования продаж и </w:t>
      </w:r>
      <w:r w:rsidR="00F22447" w:rsidRPr="00F039F3">
        <w:rPr>
          <w:szCs w:val="28"/>
        </w:rPr>
        <w:t>операций</w:t>
      </w:r>
      <w:r w:rsidR="00D816FE" w:rsidRPr="00D816FE">
        <w:rPr>
          <w:color w:val="000000"/>
          <w:spacing w:val="-4"/>
        </w:rPr>
        <w:t xml:space="preserve"> </w:t>
      </w:r>
      <w:r w:rsidR="00D816FE">
        <w:rPr>
          <w:color w:val="000000"/>
          <w:spacing w:val="-4"/>
        </w:rPr>
        <w:t xml:space="preserve">на базе программного продукта корпорации </w:t>
      </w:r>
      <w:r w:rsidR="00D816FE">
        <w:rPr>
          <w:color w:val="000000"/>
          <w:spacing w:val="-4"/>
          <w:lang w:val="en-US"/>
        </w:rPr>
        <w:t>IBM</w:t>
      </w:r>
      <w:r w:rsidR="00D816FE">
        <w:rPr>
          <w:color w:val="000000"/>
          <w:spacing w:val="-4"/>
        </w:rPr>
        <w:t xml:space="preserve"> </w:t>
      </w:r>
      <w:r w:rsidR="00D816FE">
        <w:rPr>
          <w:color w:val="000000"/>
          <w:spacing w:val="-4"/>
          <w:lang w:val="en-US"/>
        </w:rPr>
        <w:t>ILOG</w:t>
      </w:r>
      <w:r w:rsidR="00D816FE" w:rsidRPr="00BB4D01">
        <w:rPr>
          <w:color w:val="000000"/>
          <w:spacing w:val="-4"/>
        </w:rPr>
        <w:t xml:space="preserve"> </w:t>
      </w:r>
      <w:r w:rsidR="00D816FE">
        <w:rPr>
          <w:color w:val="000000"/>
          <w:spacing w:val="-4"/>
          <w:lang w:val="en-US"/>
        </w:rPr>
        <w:t>Decision</w:t>
      </w:r>
      <w:r w:rsidR="00D816FE" w:rsidRPr="00BB4D01">
        <w:rPr>
          <w:color w:val="000000"/>
          <w:spacing w:val="-4"/>
        </w:rPr>
        <w:t xml:space="preserve"> </w:t>
      </w:r>
      <w:r w:rsidR="00D816FE">
        <w:rPr>
          <w:color w:val="000000"/>
          <w:spacing w:val="-4"/>
          <w:lang w:val="en-US"/>
        </w:rPr>
        <w:t>Optimization</w:t>
      </w:r>
      <w:r w:rsidR="00D816FE" w:rsidRPr="00BB4D01">
        <w:rPr>
          <w:color w:val="000000"/>
          <w:spacing w:val="-4"/>
        </w:rPr>
        <w:t xml:space="preserve"> </w:t>
      </w:r>
      <w:r w:rsidR="00D816FE">
        <w:rPr>
          <w:color w:val="000000"/>
          <w:spacing w:val="-4"/>
          <w:lang w:val="en-US"/>
        </w:rPr>
        <w:t>Center</w:t>
      </w:r>
      <w:r w:rsidR="001838B9">
        <w:rPr>
          <w:color w:val="000000"/>
          <w:spacing w:val="-4"/>
        </w:rPr>
        <w:t xml:space="preserve"> (далее – работы по разработке интеграционного модуля)</w:t>
      </w:r>
      <w:r w:rsidRPr="003927D3">
        <w:rPr>
          <w:i/>
        </w:rPr>
        <w:t>.</w:t>
      </w:r>
    </w:p>
    <w:p w:rsidR="00B36A9A" w:rsidRDefault="00B36A9A" w:rsidP="00B36A9A">
      <w:pPr>
        <w:spacing w:line="276" w:lineRule="auto"/>
        <w:jc w:val="both"/>
        <w:rPr>
          <w:i/>
        </w:rPr>
      </w:pPr>
    </w:p>
    <w:p w:rsidR="0024584A" w:rsidRPr="00AC0842" w:rsidRDefault="0024584A" w:rsidP="00B36A9A">
      <w:pPr>
        <w:spacing w:line="276" w:lineRule="auto"/>
        <w:jc w:val="both"/>
        <w:rPr>
          <w:szCs w:val="28"/>
        </w:rPr>
      </w:pPr>
      <w:r w:rsidRPr="00AC0842">
        <w:rPr>
          <w:szCs w:val="28"/>
        </w:rPr>
        <w:lastRenderedPageBreak/>
        <w:t>Информация о товаре, работе, услуге:</w:t>
      </w:r>
    </w:p>
    <w:tbl>
      <w:tblPr>
        <w:tblStyle w:val="ad"/>
        <w:tblW w:w="0" w:type="auto"/>
        <w:shd w:val="clear" w:color="auto" w:fill="FFFFFF" w:themeFill="background1"/>
        <w:tblLook w:val="04A0" w:firstRow="1" w:lastRow="0" w:firstColumn="1" w:lastColumn="0" w:noHBand="0" w:noVBand="1"/>
      </w:tblPr>
      <w:tblGrid>
        <w:gridCol w:w="817"/>
        <w:gridCol w:w="1819"/>
        <w:gridCol w:w="1819"/>
        <w:gridCol w:w="1323"/>
        <w:gridCol w:w="1418"/>
        <w:gridCol w:w="2268"/>
      </w:tblGrid>
      <w:tr w:rsidR="0024584A" w:rsidRPr="00AC0842" w:rsidTr="008432ED">
        <w:tc>
          <w:tcPr>
            <w:tcW w:w="817" w:type="dxa"/>
            <w:shd w:val="clear" w:color="auto" w:fill="FFFFFF" w:themeFill="background1"/>
          </w:tcPr>
          <w:p w:rsidR="0024584A" w:rsidRPr="008432ED" w:rsidRDefault="0024584A" w:rsidP="00B36A9A">
            <w:pPr>
              <w:spacing w:line="276" w:lineRule="auto"/>
              <w:ind w:firstLine="0"/>
              <w:rPr>
                <w:sz w:val="24"/>
                <w:szCs w:val="24"/>
              </w:rPr>
            </w:pPr>
            <w:r w:rsidRPr="008432ED">
              <w:rPr>
                <w:sz w:val="24"/>
                <w:szCs w:val="24"/>
              </w:rPr>
              <w:t>№</w:t>
            </w:r>
          </w:p>
        </w:tc>
        <w:tc>
          <w:tcPr>
            <w:tcW w:w="1819" w:type="dxa"/>
            <w:shd w:val="clear" w:color="auto" w:fill="FFFFFF" w:themeFill="background1"/>
          </w:tcPr>
          <w:p w:rsidR="0024584A" w:rsidRPr="008432ED" w:rsidRDefault="0024584A" w:rsidP="00B36A9A">
            <w:pPr>
              <w:spacing w:line="276" w:lineRule="auto"/>
              <w:ind w:firstLine="0"/>
              <w:rPr>
                <w:sz w:val="24"/>
                <w:szCs w:val="24"/>
              </w:rPr>
            </w:pPr>
            <w:r w:rsidRPr="008432ED">
              <w:rPr>
                <w:sz w:val="24"/>
                <w:szCs w:val="24"/>
              </w:rPr>
              <w:t>Классификация по ОКДП</w:t>
            </w:r>
          </w:p>
        </w:tc>
        <w:tc>
          <w:tcPr>
            <w:tcW w:w="1819" w:type="dxa"/>
            <w:shd w:val="clear" w:color="auto" w:fill="FFFFFF" w:themeFill="background1"/>
          </w:tcPr>
          <w:p w:rsidR="0024584A" w:rsidRPr="008432ED" w:rsidRDefault="0024584A" w:rsidP="00B36A9A">
            <w:pPr>
              <w:spacing w:line="276" w:lineRule="auto"/>
              <w:ind w:firstLine="0"/>
              <w:rPr>
                <w:sz w:val="24"/>
                <w:szCs w:val="24"/>
              </w:rPr>
            </w:pPr>
            <w:r w:rsidRPr="008432ED">
              <w:rPr>
                <w:sz w:val="24"/>
                <w:szCs w:val="24"/>
              </w:rPr>
              <w:t>Классификация по ОКВЭД</w:t>
            </w:r>
          </w:p>
        </w:tc>
        <w:tc>
          <w:tcPr>
            <w:tcW w:w="1323" w:type="dxa"/>
            <w:shd w:val="clear" w:color="auto" w:fill="FFFFFF" w:themeFill="background1"/>
          </w:tcPr>
          <w:p w:rsidR="0024584A" w:rsidRPr="008432ED" w:rsidRDefault="0024584A" w:rsidP="00B36A9A">
            <w:pPr>
              <w:spacing w:line="276" w:lineRule="auto"/>
              <w:ind w:firstLine="0"/>
              <w:rPr>
                <w:sz w:val="24"/>
                <w:szCs w:val="24"/>
              </w:rPr>
            </w:pPr>
            <w:r w:rsidRPr="008432ED">
              <w:rPr>
                <w:sz w:val="24"/>
                <w:szCs w:val="24"/>
              </w:rPr>
              <w:t>Ед. измерения</w:t>
            </w:r>
          </w:p>
        </w:tc>
        <w:tc>
          <w:tcPr>
            <w:tcW w:w="1418" w:type="dxa"/>
            <w:shd w:val="clear" w:color="auto" w:fill="FFFFFF" w:themeFill="background1"/>
          </w:tcPr>
          <w:p w:rsidR="0024584A" w:rsidRPr="008432ED" w:rsidRDefault="0024584A" w:rsidP="00B36A9A">
            <w:pPr>
              <w:spacing w:line="276" w:lineRule="auto"/>
              <w:ind w:firstLine="0"/>
              <w:rPr>
                <w:sz w:val="24"/>
                <w:szCs w:val="24"/>
              </w:rPr>
            </w:pPr>
            <w:r w:rsidRPr="008432ED">
              <w:rPr>
                <w:sz w:val="24"/>
                <w:szCs w:val="24"/>
              </w:rPr>
              <w:t>Количество (Объем)</w:t>
            </w:r>
          </w:p>
        </w:tc>
        <w:tc>
          <w:tcPr>
            <w:tcW w:w="2268" w:type="dxa"/>
            <w:shd w:val="clear" w:color="auto" w:fill="FFFFFF" w:themeFill="background1"/>
          </w:tcPr>
          <w:p w:rsidR="0024584A" w:rsidRPr="00AC0842" w:rsidRDefault="0024584A" w:rsidP="00B36A9A">
            <w:pPr>
              <w:spacing w:line="276" w:lineRule="auto"/>
              <w:ind w:firstLine="0"/>
              <w:rPr>
                <w:sz w:val="24"/>
                <w:szCs w:val="24"/>
              </w:rPr>
            </w:pPr>
            <w:r w:rsidRPr="008432ED">
              <w:rPr>
                <w:sz w:val="24"/>
                <w:szCs w:val="24"/>
              </w:rPr>
              <w:t>Дополнительные сведения</w:t>
            </w:r>
          </w:p>
        </w:tc>
      </w:tr>
      <w:tr w:rsidR="00CB0A9A" w:rsidRPr="00AC0842" w:rsidTr="00CB0A9A">
        <w:tc>
          <w:tcPr>
            <w:tcW w:w="817" w:type="dxa"/>
            <w:shd w:val="clear" w:color="auto" w:fill="FFFFFF" w:themeFill="background1"/>
          </w:tcPr>
          <w:p w:rsidR="00CB0A9A" w:rsidRPr="00AC0842" w:rsidRDefault="00CB0A9A" w:rsidP="00B36A9A">
            <w:pPr>
              <w:spacing w:line="276" w:lineRule="auto"/>
              <w:ind w:firstLine="0"/>
              <w:rPr>
                <w:sz w:val="24"/>
                <w:szCs w:val="24"/>
              </w:rPr>
            </w:pPr>
            <w:r>
              <w:rPr>
                <w:sz w:val="24"/>
                <w:szCs w:val="24"/>
              </w:rPr>
              <w:t>1.</w:t>
            </w:r>
          </w:p>
        </w:tc>
        <w:tc>
          <w:tcPr>
            <w:tcW w:w="1819" w:type="dxa"/>
            <w:shd w:val="clear" w:color="auto" w:fill="FFFFFF" w:themeFill="background1"/>
            <w:vAlign w:val="center"/>
          </w:tcPr>
          <w:p w:rsidR="00CB0A9A" w:rsidRPr="00AC0842" w:rsidRDefault="00CB0A9A" w:rsidP="00B36A9A">
            <w:pPr>
              <w:spacing w:line="276" w:lineRule="auto"/>
              <w:ind w:firstLine="0"/>
              <w:rPr>
                <w:sz w:val="24"/>
                <w:szCs w:val="24"/>
              </w:rPr>
            </w:pPr>
            <w:r w:rsidRPr="00252003">
              <w:rPr>
                <w:sz w:val="24"/>
                <w:szCs w:val="24"/>
              </w:rPr>
              <w:t>7260024</w:t>
            </w:r>
          </w:p>
        </w:tc>
        <w:tc>
          <w:tcPr>
            <w:tcW w:w="1819" w:type="dxa"/>
            <w:shd w:val="clear" w:color="auto" w:fill="FFFFFF" w:themeFill="background1"/>
            <w:vAlign w:val="center"/>
          </w:tcPr>
          <w:p w:rsidR="00CB0A9A" w:rsidRPr="00AC0842" w:rsidRDefault="00CB0A9A" w:rsidP="00B36A9A">
            <w:pPr>
              <w:spacing w:line="276" w:lineRule="auto"/>
              <w:ind w:firstLine="0"/>
              <w:rPr>
                <w:sz w:val="24"/>
                <w:szCs w:val="24"/>
              </w:rPr>
            </w:pPr>
            <w:r w:rsidRPr="00252003">
              <w:rPr>
                <w:sz w:val="24"/>
                <w:szCs w:val="24"/>
              </w:rPr>
              <w:t>72.20</w:t>
            </w:r>
          </w:p>
        </w:tc>
        <w:tc>
          <w:tcPr>
            <w:tcW w:w="1323" w:type="dxa"/>
            <w:shd w:val="clear" w:color="auto" w:fill="FFFFFF" w:themeFill="background1"/>
            <w:vAlign w:val="center"/>
          </w:tcPr>
          <w:p w:rsidR="00CB0A9A" w:rsidRPr="00AC0842" w:rsidRDefault="00CB0A9A" w:rsidP="00B36A9A">
            <w:pPr>
              <w:spacing w:line="276" w:lineRule="auto"/>
              <w:ind w:firstLine="0"/>
              <w:rPr>
                <w:sz w:val="24"/>
                <w:szCs w:val="24"/>
              </w:rPr>
            </w:pPr>
            <w:r w:rsidRPr="00252003">
              <w:rPr>
                <w:sz w:val="24"/>
                <w:szCs w:val="24"/>
              </w:rPr>
              <w:t>условная единица</w:t>
            </w:r>
          </w:p>
        </w:tc>
        <w:tc>
          <w:tcPr>
            <w:tcW w:w="1418" w:type="dxa"/>
            <w:shd w:val="clear" w:color="auto" w:fill="FFFFFF" w:themeFill="background1"/>
            <w:vAlign w:val="center"/>
          </w:tcPr>
          <w:p w:rsidR="00CB0A9A" w:rsidRPr="00AC0842" w:rsidRDefault="00CB0A9A" w:rsidP="00B36A9A">
            <w:pPr>
              <w:spacing w:line="276" w:lineRule="auto"/>
              <w:ind w:firstLine="0"/>
              <w:rPr>
                <w:sz w:val="24"/>
                <w:szCs w:val="24"/>
              </w:rPr>
            </w:pPr>
            <w:r w:rsidRPr="00252003">
              <w:rPr>
                <w:sz w:val="24"/>
                <w:szCs w:val="24"/>
                <w:lang w:val="en-US"/>
              </w:rPr>
              <w:t>1</w:t>
            </w:r>
          </w:p>
        </w:tc>
        <w:tc>
          <w:tcPr>
            <w:tcW w:w="2268" w:type="dxa"/>
            <w:shd w:val="clear" w:color="auto" w:fill="FFFFFF" w:themeFill="background1"/>
            <w:vAlign w:val="center"/>
          </w:tcPr>
          <w:p w:rsidR="00CB0A9A" w:rsidRPr="00CB0A9A" w:rsidRDefault="00CB0A9A" w:rsidP="00B36A9A">
            <w:pPr>
              <w:spacing w:line="276" w:lineRule="auto"/>
              <w:ind w:firstLine="0"/>
              <w:rPr>
                <w:sz w:val="24"/>
                <w:szCs w:val="24"/>
                <w:lang w:val="en-US"/>
              </w:rPr>
            </w:pPr>
            <w:r w:rsidRPr="00044B55">
              <w:rPr>
                <w:sz w:val="24"/>
                <w:szCs w:val="24"/>
              </w:rPr>
              <w:t>Строка годового плана закупок №</w:t>
            </w:r>
            <w:r w:rsidRPr="00834E0B">
              <w:rPr>
                <w:sz w:val="24"/>
                <w:szCs w:val="24"/>
                <w:highlight w:val="yellow"/>
              </w:rPr>
              <w:t xml:space="preserve"> </w:t>
            </w:r>
            <w:r>
              <w:rPr>
                <w:sz w:val="24"/>
                <w:szCs w:val="24"/>
              </w:rPr>
              <w:t>4</w:t>
            </w:r>
            <w:r>
              <w:rPr>
                <w:sz w:val="24"/>
                <w:szCs w:val="24"/>
                <w:lang w:val="en-US"/>
              </w:rPr>
              <w:t>64</w:t>
            </w:r>
          </w:p>
        </w:tc>
      </w:tr>
    </w:tbl>
    <w:p w:rsidR="0024584A" w:rsidRPr="003927D3" w:rsidRDefault="0024584A" w:rsidP="00B36A9A">
      <w:pPr>
        <w:spacing w:line="276" w:lineRule="auto"/>
        <w:jc w:val="both"/>
        <w:rPr>
          <w:b/>
        </w:rPr>
      </w:pPr>
      <w:r w:rsidRPr="003927D3">
        <w:rPr>
          <w:b/>
        </w:rPr>
        <w:t xml:space="preserve">2. Количество (Объем) </w:t>
      </w:r>
      <w:r w:rsidR="00CB0A9A" w:rsidRPr="00AC1758">
        <w:t>состав и объем работ утверждаются перечнем, изложенным в Техническом задании</w:t>
      </w:r>
      <w:r w:rsidR="005F5F54">
        <w:t>, Приложении 1</w:t>
      </w:r>
      <w:r w:rsidR="00CB0A9A" w:rsidRPr="00AC1758">
        <w:t xml:space="preserve"> к Договору, являющемся его неотъемлемой частью</w:t>
      </w:r>
      <w:r w:rsidRPr="003927D3">
        <w:t>.</w:t>
      </w:r>
    </w:p>
    <w:p w:rsidR="0024584A" w:rsidRPr="003927D3" w:rsidRDefault="0024584A" w:rsidP="00B36A9A">
      <w:pPr>
        <w:spacing w:line="276" w:lineRule="auto"/>
        <w:jc w:val="both"/>
        <w:rPr>
          <w:b/>
        </w:rPr>
      </w:pPr>
      <w:r w:rsidRPr="003927D3">
        <w:rPr>
          <w:b/>
        </w:rPr>
        <w:t xml:space="preserve">3. </w:t>
      </w:r>
      <w:r w:rsidR="001D2089">
        <w:rPr>
          <w:b/>
        </w:rPr>
        <w:t>Ц</w:t>
      </w:r>
      <w:r w:rsidRPr="003927D3">
        <w:rPr>
          <w:b/>
        </w:rPr>
        <w:t xml:space="preserve">ена договора: </w:t>
      </w:r>
      <w:r w:rsidR="00326F9B">
        <w:t>ц</w:t>
      </w:r>
      <w:r w:rsidR="00CB0A9A" w:rsidRPr="005437C2">
        <w:t xml:space="preserve">ена </w:t>
      </w:r>
      <w:r w:rsidR="00151B42">
        <w:t xml:space="preserve">работ по договору </w:t>
      </w:r>
      <w:r w:rsidR="00CB0A9A" w:rsidRPr="005437C2">
        <w:t>составляет</w:t>
      </w:r>
      <w:r w:rsidR="00CB0A9A">
        <w:t xml:space="preserve"> </w:t>
      </w:r>
      <w:r w:rsidR="00CB0A9A" w:rsidRPr="00CB0A9A">
        <w:t>1</w:t>
      </w:r>
      <w:r w:rsidR="00CB0A9A">
        <w:t> </w:t>
      </w:r>
      <w:r w:rsidR="00151B42">
        <w:t>35</w:t>
      </w:r>
      <w:r w:rsidR="00CB0A9A">
        <w:t xml:space="preserve">0 </w:t>
      </w:r>
      <w:r w:rsidR="00151B42">
        <w:t>000</w:t>
      </w:r>
      <w:r w:rsidR="00CB0A9A">
        <w:t>,</w:t>
      </w:r>
      <w:r w:rsidR="00151B42">
        <w:t>0</w:t>
      </w:r>
      <w:r w:rsidR="00CB0A9A">
        <w:t>0 (</w:t>
      </w:r>
      <w:r w:rsidR="00151B42">
        <w:t>один миллион</w:t>
      </w:r>
      <w:r w:rsidR="00CB0A9A">
        <w:t xml:space="preserve"> </w:t>
      </w:r>
      <w:r w:rsidR="00151B42">
        <w:t>триста пятьдесят</w:t>
      </w:r>
      <w:r w:rsidR="00CB0A9A">
        <w:t xml:space="preserve"> тысяч) рублей, </w:t>
      </w:r>
      <w:r w:rsidR="00151B42">
        <w:t>0</w:t>
      </w:r>
      <w:r w:rsidR="00CB0A9A">
        <w:t>0 копеек</w:t>
      </w:r>
      <w:r w:rsidR="00326F9B">
        <w:t xml:space="preserve"> без учета НДС.</w:t>
      </w:r>
      <w:r w:rsidR="00CB0A9A">
        <w:t xml:space="preserve"> НДС начисляется отдельно по ставке 18%</w:t>
      </w:r>
      <w:r w:rsidR="00CB0A9A" w:rsidRPr="003927D3">
        <w:t>.</w:t>
      </w:r>
    </w:p>
    <w:p w:rsidR="00EA5DCF" w:rsidRDefault="0024584A" w:rsidP="00B36A9A">
      <w:pPr>
        <w:spacing w:line="276" w:lineRule="auto"/>
        <w:ind w:firstLine="851"/>
        <w:jc w:val="both"/>
      </w:pPr>
      <w:r w:rsidRPr="003927D3">
        <w:rPr>
          <w:b/>
          <w:iCs/>
          <w:szCs w:val="28"/>
        </w:rPr>
        <w:t>4. По</w:t>
      </w:r>
      <w:r w:rsidR="00151B42">
        <w:rPr>
          <w:b/>
          <w:iCs/>
          <w:szCs w:val="28"/>
        </w:rPr>
        <w:t xml:space="preserve">рядок определения цены: </w:t>
      </w:r>
      <w:r w:rsidR="00EA5DCF">
        <w:t xml:space="preserve">Цена </w:t>
      </w:r>
      <w:r w:rsidR="00EA5DCF" w:rsidRPr="0021694B">
        <w:t>работ по Договору</w:t>
      </w:r>
      <w:r w:rsidR="00EA5DCF">
        <w:t xml:space="preserve"> вычисляется путем суммирования стоимостей по этапам работ. Стоимость этапа работ вычисляется путем умножения количества необходимых человеко-часов специалиста определенной категории для выполнения работ по этапу на почасовую ставку специалиста этой категории.</w:t>
      </w:r>
    </w:p>
    <w:p w:rsidR="0024584A" w:rsidRPr="003927D3" w:rsidRDefault="0024584A" w:rsidP="00B36A9A">
      <w:pPr>
        <w:pStyle w:val="Default"/>
        <w:spacing w:line="276" w:lineRule="auto"/>
        <w:ind w:firstLine="708"/>
        <w:jc w:val="both"/>
        <w:rPr>
          <w:iCs/>
          <w:color w:val="auto"/>
          <w:sz w:val="28"/>
          <w:szCs w:val="28"/>
        </w:rPr>
      </w:pPr>
      <w:r w:rsidRPr="003927D3">
        <w:rPr>
          <w:b/>
          <w:iCs/>
          <w:color w:val="auto"/>
          <w:sz w:val="28"/>
          <w:szCs w:val="28"/>
        </w:rPr>
        <w:t xml:space="preserve">5. Форма, сроки и порядок оплаты </w:t>
      </w:r>
      <w:r w:rsidR="003B7834" w:rsidRPr="00494807">
        <w:rPr>
          <w:color w:val="auto"/>
          <w:sz w:val="28"/>
        </w:rPr>
        <w:t xml:space="preserve">Оплата Работ производится после подписания Сторонами Акта сдачи-приемки выполненных Работ (этапа </w:t>
      </w:r>
      <w:r w:rsidR="003B7834">
        <w:rPr>
          <w:color w:val="auto"/>
          <w:sz w:val="28"/>
        </w:rPr>
        <w:t>Р</w:t>
      </w:r>
      <w:r w:rsidR="003B7834" w:rsidRPr="00494807">
        <w:rPr>
          <w:color w:val="auto"/>
          <w:sz w:val="28"/>
        </w:rPr>
        <w:t xml:space="preserve">абот) на основании счета Исполнителя в течение </w:t>
      </w:r>
      <w:r w:rsidR="003B7834">
        <w:rPr>
          <w:color w:val="auto"/>
          <w:sz w:val="28"/>
        </w:rPr>
        <w:t>30</w:t>
      </w:r>
      <w:r w:rsidR="003B7834" w:rsidRPr="00494807">
        <w:rPr>
          <w:color w:val="auto"/>
          <w:sz w:val="28"/>
        </w:rPr>
        <w:t xml:space="preserve"> (</w:t>
      </w:r>
      <w:r w:rsidR="003B7834">
        <w:rPr>
          <w:color w:val="auto"/>
          <w:sz w:val="28"/>
        </w:rPr>
        <w:t>тридцати</w:t>
      </w:r>
      <w:r w:rsidR="003B7834" w:rsidRPr="00494807">
        <w:rPr>
          <w:color w:val="auto"/>
          <w:sz w:val="28"/>
        </w:rPr>
        <w:t>) календарных дней с даты получения Заказчиком счета</w:t>
      </w:r>
      <w:r w:rsidRPr="003927D3">
        <w:rPr>
          <w:iCs/>
          <w:color w:val="auto"/>
          <w:sz w:val="28"/>
          <w:szCs w:val="28"/>
        </w:rPr>
        <w:t>.</w:t>
      </w:r>
    </w:p>
    <w:p w:rsidR="0024584A" w:rsidRPr="003B7834" w:rsidRDefault="0024584A" w:rsidP="00B36A9A">
      <w:pPr>
        <w:pStyle w:val="Default"/>
        <w:spacing w:line="276" w:lineRule="auto"/>
        <w:ind w:firstLine="708"/>
        <w:jc w:val="both"/>
        <w:rPr>
          <w:snapToGrid w:val="0"/>
          <w:color w:val="auto"/>
          <w:sz w:val="28"/>
          <w:szCs w:val="20"/>
          <w:lang w:eastAsia="ru-RU"/>
        </w:rPr>
      </w:pPr>
      <w:r w:rsidRPr="003927D3">
        <w:rPr>
          <w:b/>
          <w:iCs/>
          <w:color w:val="auto"/>
          <w:sz w:val="28"/>
          <w:szCs w:val="28"/>
        </w:rPr>
        <w:t xml:space="preserve">6. Срок </w:t>
      </w:r>
      <w:r w:rsidR="003B7834" w:rsidRPr="001A260D">
        <w:rPr>
          <w:b/>
          <w:iCs/>
          <w:color w:val="auto"/>
          <w:sz w:val="28"/>
          <w:szCs w:val="28"/>
        </w:rPr>
        <w:t>выполнения работ:</w:t>
      </w:r>
      <w:r w:rsidR="003B7834" w:rsidRPr="00AF226D">
        <w:rPr>
          <w:i/>
          <w:iCs/>
          <w:szCs w:val="28"/>
        </w:rPr>
        <w:t xml:space="preserve"> </w:t>
      </w:r>
      <w:r w:rsidR="003B7834">
        <w:rPr>
          <w:snapToGrid w:val="0"/>
          <w:color w:val="auto"/>
          <w:sz w:val="28"/>
          <w:szCs w:val="20"/>
          <w:lang w:eastAsia="ru-RU"/>
        </w:rPr>
        <w:t xml:space="preserve">60 календарных дней </w:t>
      </w:r>
      <w:proofErr w:type="gramStart"/>
      <w:r w:rsidR="003B7834">
        <w:rPr>
          <w:snapToGrid w:val="0"/>
          <w:color w:val="auto"/>
          <w:sz w:val="28"/>
          <w:szCs w:val="20"/>
          <w:lang w:eastAsia="ru-RU"/>
        </w:rPr>
        <w:t>с даты заключения</w:t>
      </w:r>
      <w:proofErr w:type="gramEnd"/>
      <w:r w:rsidR="003B7834">
        <w:rPr>
          <w:snapToGrid w:val="0"/>
          <w:color w:val="auto"/>
          <w:sz w:val="28"/>
          <w:szCs w:val="20"/>
          <w:lang w:eastAsia="ru-RU"/>
        </w:rPr>
        <w:t xml:space="preserve"> договора</w:t>
      </w:r>
      <w:r w:rsidR="003B7834" w:rsidRPr="001A260D">
        <w:rPr>
          <w:snapToGrid w:val="0"/>
          <w:color w:val="auto"/>
          <w:sz w:val="28"/>
          <w:szCs w:val="20"/>
          <w:lang w:eastAsia="ru-RU"/>
        </w:rPr>
        <w:t>.</w:t>
      </w:r>
      <w:r w:rsidR="00D816FE">
        <w:rPr>
          <w:snapToGrid w:val="0"/>
          <w:color w:val="auto"/>
          <w:sz w:val="28"/>
          <w:szCs w:val="20"/>
          <w:lang w:eastAsia="ru-RU"/>
        </w:rPr>
        <w:t xml:space="preserve"> </w:t>
      </w:r>
      <w:r w:rsidR="00D816FE" w:rsidRPr="00D816FE">
        <w:rPr>
          <w:snapToGrid w:val="0"/>
          <w:color w:val="auto"/>
          <w:sz w:val="28"/>
          <w:szCs w:val="20"/>
          <w:lang w:eastAsia="ru-RU"/>
        </w:rPr>
        <w:t xml:space="preserve">Срок выполнения </w:t>
      </w:r>
      <w:r w:rsidR="001838B9">
        <w:rPr>
          <w:snapToGrid w:val="0"/>
          <w:color w:val="auto"/>
          <w:sz w:val="28"/>
          <w:szCs w:val="20"/>
          <w:lang w:eastAsia="ru-RU"/>
        </w:rPr>
        <w:t>р</w:t>
      </w:r>
      <w:r w:rsidR="00D816FE" w:rsidRPr="00D816FE">
        <w:rPr>
          <w:snapToGrid w:val="0"/>
          <w:color w:val="auto"/>
          <w:sz w:val="28"/>
          <w:szCs w:val="20"/>
          <w:lang w:eastAsia="ru-RU"/>
        </w:rPr>
        <w:t>абот</w:t>
      </w:r>
      <w:r w:rsidR="001838B9">
        <w:rPr>
          <w:snapToGrid w:val="0"/>
          <w:color w:val="auto"/>
          <w:sz w:val="28"/>
          <w:szCs w:val="20"/>
          <w:lang w:eastAsia="ru-RU"/>
        </w:rPr>
        <w:t xml:space="preserve">, </w:t>
      </w:r>
      <w:r w:rsidR="00D816FE" w:rsidRPr="00D816FE">
        <w:rPr>
          <w:snapToGrid w:val="0"/>
          <w:color w:val="auto"/>
          <w:sz w:val="28"/>
          <w:szCs w:val="20"/>
          <w:lang w:eastAsia="ru-RU"/>
        </w:rPr>
        <w:t xml:space="preserve">а также отдельных этапов </w:t>
      </w:r>
      <w:r w:rsidR="001838B9">
        <w:rPr>
          <w:snapToGrid w:val="0"/>
          <w:color w:val="auto"/>
          <w:sz w:val="28"/>
          <w:szCs w:val="20"/>
          <w:lang w:eastAsia="ru-RU"/>
        </w:rPr>
        <w:t>работ,</w:t>
      </w:r>
      <w:r w:rsidR="00D816FE" w:rsidRPr="00D816FE">
        <w:rPr>
          <w:snapToGrid w:val="0"/>
          <w:color w:val="auto"/>
          <w:sz w:val="28"/>
          <w:szCs w:val="20"/>
          <w:lang w:eastAsia="ru-RU"/>
        </w:rPr>
        <w:t xml:space="preserve"> определяется Календарным планом (Приложение №</w:t>
      </w:r>
      <w:r w:rsidR="001838B9">
        <w:rPr>
          <w:snapToGrid w:val="0"/>
          <w:color w:val="auto"/>
          <w:sz w:val="28"/>
          <w:szCs w:val="20"/>
          <w:lang w:eastAsia="ru-RU"/>
        </w:rPr>
        <w:t>1</w:t>
      </w:r>
      <w:r w:rsidR="00D816FE" w:rsidRPr="00D816FE">
        <w:rPr>
          <w:snapToGrid w:val="0"/>
          <w:color w:val="auto"/>
          <w:sz w:val="28"/>
          <w:szCs w:val="20"/>
          <w:lang w:eastAsia="ru-RU"/>
        </w:rPr>
        <w:t xml:space="preserve"> к настоящему </w:t>
      </w:r>
      <w:r w:rsidR="001838B9">
        <w:rPr>
          <w:snapToGrid w:val="0"/>
          <w:color w:val="auto"/>
          <w:sz w:val="28"/>
          <w:szCs w:val="20"/>
          <w:lang w:eastAsia="ru-RU"/>
        </w:rPr>
        <w:t>Извещению</w:t>
      </w:r>
      <w:r w:rsidR="00D816FE" w:rsidRPr="00D816FE">
        <w:rPr>
          <w:snapToGrid w:val="0"/>
          <w:color w:val="auto"/>
          <w:sz w:val="28"/>
          <w:szCs w:val="20"/>
          <w:lang w:eastAsia="ru-RU"/>
        </w:rPr>
        <w:t>)</w:t>
      </w:r>
      <w:r w:rsidR="001838B9">
        <w:rPr>
          <w:snapToGrid w:val="0"/>
          <w:color w:val="auto"/>
          <w:sz w:val="28"/>
          <w:szCs w:val="20"/>
          <w:lang w:eastAsia="ru-RU"/>
        </w:rPr>
        <w:t>.</w:t>
      </w:r>
    </w:p>
    <w:p w:rsidR="005F5F54" w:rsidRPr="003927D3" w:rsidRDefault="0024584A" w:rsidP="00B36A9A">
      <w:pPr>
        <w:pStyle w:val="Default"/>
        <w:spacing w:line="276" w:lineRule="auto"/>
        <w:ind w:firstLine="708"/>
        <w:jc w:val="both"/>
        <w:rPr>
          <w:i/>
          <w:color w:val="auto"/>
          <w:sz w:val="28"/>
          <w:szCs w:val="28"/>
        </w:rPr>
      </w:pPr>
      <w:r w:rsidRPr="003927D3">
        <w:rPr>
          <w:b/>
          <w:iCs/>
          <w:color w:val="auto"/>
          <w:sz w:val="28"/>
          <w:szCs w:val="28"/>
        </w:rPr>
        <w:t xml:space="preserve">7. Место </w:t>
      </w:r>
      <w:r w:rsidR="005F5F54" w:rsidRPr="00165AA7">
        <w:rPr>
          <w:b/>
          <w:iCs/>
          <w:color w:val="auto"/>
          <w:sz w:val="28"/>
          <w:szCs w:val="28"/>
        </w:rPr>
        <w:t>выполнения работ</w:t>
      </w:r>
      <w:r w:rsidR="005F5F54">
        <w:rPr>
          <w:b/>
          <w:iCs/>
          <w:color w:val="auto"/>
          <w:sz w:val="28"/>
          <w:szCs w:val="28"/>
        </w:rPr>
        <w:t>:</w:t>
      </w:r>
      <w:r w:rsidR="005F5F54">
        <w:rPr>
          <w:snapToGrid w:val="0"/>
          <w:color w:val="auto"/>
          <w:sz w:val="28"/>
          <w:szCs w:val="20"/>
          <w:lang w:eastAsia="ru-RU"/>
        </w:rPr>
        <w:t xml:space="preserve"> </w:t>
      </w:r>
      <w:r w:rsidR="005F5F54" w:rsidRPr="00834E0B">
        <w:rPr>
          <w:sz w:val="28"/>
          <w:szCs w:val="28"/>
        </w:rPr>
        <w:t>125047, Москва, Оружейный переулок, д. 19.</w:t>
      </w:r>
    </w:p>
    <w:p w:rsidR="005F5F54" w:rsidRPr="003927D3" w:rsidRDefault="0024584A" w:rsidP="00B36A9A">
      <w:pPr>
        <w:pStyle w:val="Default"/>
        <w:spacing w:line="276" w:lineRule="auto"/>
        <w:ind w:firstLine="708"/>
        <w:jc w:val="both"/>
        <w:rPr>
          <w:b/>
          <w:iCs/>
          <w:color w:val="auto"/>
          <w:sz w:val="28"/>
          <w:szCs w:val="28"/>
        </w:rPr>
      </w:pPr>
      <w:r w:rsidRPr="003927D3">
        <w:rPr>
          <w:b/>
          <w:color w:val="auto"/>
          <w:sz w:val="28"/>
          <w:szCs w:val="28"/>
        </w:rPr>
        <w:t xml:space="preserve">8. Информация о поставщике: </w:t>
      </w:r>
      <w:r w:rsidR="005F5F54" w:rsidRPr="002F376B">
        <w:rPr>
          <w:snapToGrid w:val="0"/>
          <w:color w:val="auto"/>
          <w:sz w:val="28"/>
          <w:szCs w:val="20"/>
          <w:lang w:eastAsia="ru-RU"/>
        </w:rPr>
        <w:t>Общество с ограниченной ответственностью «Центр Информационных Технологий на Транспорте М» (ООО «ЦИТ Транс М»)</w:t>
      </w:r>
      <w:r w:rsidR="00DA49E5">
        <w:rPr>
          <w:snapToGrid w:val="0"/>
          <w:color w:val="auto"/>
          <w:sz w:val="28"/>
          <w:szCs w:val="20"/>
          <w:lang w:eastAsia="ru-RU"/>
        </w:rPr>
        <w:t>, является субъектом</w:t>
      </w:r>
      <w:r w:rsidR="00EA5DCF">
        <w:rPr>
          <w:snapToGrid w:val="0"/>
          <w:color w:val="auto"/>
          <w:sz w:val="28"/>
          <w:szCs w:val="20"/>
          <w:lang w:eastAsia="ru-RU"/>
        </w:rPr>
        <w:t xml:space="preserve"> </w:t>
      </w:r>
      <w:r w:rsidR="00DA49E5">
        <w:rPr>
          <w:snapToGrid w:val="0"/>
          <w:color w:val="auto"/>
          <w:sz w:val="28"/>
          <w:szCs w:val="20"/>
          <w:lang w:eastAsia="ru-RU"/>
        </w:rPr>
        <w:t>среднего предпринимательства</w:t>
      </w:r>
      <w:r w:rsidR="005F5F54" w:rsidRPr="002F376B">
        <w:rPr>
          <w:snapToGrid w:val="0"/>
          <w:color w:val="auto"/>
          <w:sz w:val="28"/>
          <w:szCs w:val="20"/>
          <w:lang w:eastAsia="ru-RU"/>
        </w:rPr>
        <w:t>.</w:t>
      </w:r>
    </w:p>
    <w:p w:rsidR="005F5F54" w:rsidRPr="00237D69" w:rsidRDefault="005F5F54" w:rsidP="00B36A9A">
      <w:pPr>
        <w:spacing w:line="276" w:lineRule="auto"/>
        <w:jc w:val="both"/>
      </w:pPr>
      <w:r w:rsidRPr="00237D69">
        <w:t>ОГРН: 1037739057190;</w:t>
      </w:r>
    </w:p>
    <w:p w:rsidR="005F5F54" w:rsidRPr="00237D69" w:rsidRDefault="005F5F54" w:rsidP="00B36A9A">
      <w:pPr>
        <w:spacing w:line="276" w:lineRule="auto"/>
        <w:jc w:val="both"/>
      </w:pPr>
      <w:r w:rsidRPr="00237D69">
        <w:t>ИНН: 7709298076;</w:t>
      </w:r>
    </w:p>
    <w:p w:rsidR="005F5F54" w:rsidRPr="00237D69" w:rsidRDefault="005F5F54" w:rsidP="00B36A9A">
      <w:pPr>
        <w:spacing w:line="276" w:lineRule="auto"/>
        <w:jc w:val="both"/>
      </w:pPr>
      <w:r w:rsidRPr="00237D69">
        <w:t>КПП: 770101001</w:t>
      </w:r>
      <w:r w:rsidR="001D2089">
        <w:t>.</w:t>
      </w:r>
    </w:p>
    <w:p w:rsidR="005F5F54" w:rsidRPr="00237D69" w:rsidRDefault="005F5F54" w:rsidP="00B36A9A">
      <w:pPr>
        <w:suppressAutoHyphens/>
        <w:spacing w:line="276" w:lineRule="auto"/>
        <w:ind w:firstLine="700"/>
        <w:jc w:val="both"/>
      </w:pPr>
      <w:r w:rsidRPr="00237D69">
        <w:t xml:space="preserve">Место нахождения: </w:t>
      </w:r>
      <w:r w:rsidRPr="00237D69">
        <w:rPr>
          <w:szCs w:val="28"/>
        </w:rPr>
        <w:t xml:space="preserve">Российская Федерация, 105082, г. Москва, </w:t>
      </w:r>
      <w:proofErr w:type="spellStart"/>
      <w:r w:rsidRPr="00237D69">
        <w:rPr>
          <w:szCs w:val="28"/>
        </w:rPr>
        <w:t>Переведеновский</w:t>
      </w:r>
      <w:proofErr w:type="spellEnd"/>
      <w:r w:rsidRPr="00237D69">
        <w:rPr>
          <w:szCs w:val="28"/>
        </w:rPr>
        <w:t xml:space="preserve"> переулок, д. 4 строение 3</w:t>
      </w:r>
      <w:r w:rsidRPr="00237D69">
        <w:t>.</w:t>
      </w:r>
    </w:p>
    <w:p w:rsidR="005F5F54" w:rsidRPr="003927D3" w:rsidRDefault="005F5F54" w:rsidP="00B36A9A">
      <w:pPr>
        <w:spacing w:line="276" w:lineRule="auto"/>
        <w:ind w:firstLine="0"/>
        <w:jc w:val="both"/>
      </w:pPr>
      <w:r w:rsidRPr="00237D69">
        <w:tab/>
        <w:t>Почтовый адрес</w:t>
      </w:r>
      <w:r w:rsidRPr="003927D3">
        <w:t>:</w:t>
      </w:r>
      <w:r>
        <w:t xml:space="preserve"> </w:t>
      </w:r>
      <w:r w:rsidRPr="00B044EE">
        <w:rPr>
          <w:szCs w:val="28"/>
        </w:rPr>
        <w:t>105082</w:t>
      </w:r>
      <w:r>
        <w:rPr>
          <w:szCs w:val="28"/>
        </w:rPr>
        <w:t xml:space="preserve">, </w:t>
      </w:r>
      <w:r w:rsidRPr="00B044EE">
        <w:rPr>
          <w:szCs w:val="28"/>
        </w:rPr>
        <w:t xml:space="preserve">г. Москва, </w:t>
      </w:r>
      <w:proofErr w:type="spellStart"/>
      <w:r w:rsidRPr="00B044EE">
        <w:rPr>
          <w:szCs w:val="28"/>
        </w:rPr>
        <w:t>Переведеновский</w:t>
      </w:r>
      <w:proofErr w:type="spellEnd"/>
      <w:r w:rsidRPr="00B044EE">
        <w:rPr>
          <w:szCs w:val="28"/>
        </w:rPr>
        <w:t xml:space="preserve"> переулок, д. 4 строение 3</w:t>
      </w:r>
      <w:r>
        <w:rPr>
          <w:szCs w:val="28"/>
        </w:rPr>
        <w:t>.</w:t>
      </w:r>
      <w:r>
        <w:t xml:space="preserve"> </w:t>
      </w:r>
    </w:p>
    <w:p w:rsidR="005F5F54" w:rsidRDefault="005F5F54" w:rsidP="00B36A9A">
      <w:pPr>
        <w:pStyle w:val="11"/>
        <w:spacing w:line="276" w:lineRule="auto"/>
        <w:ind w:firstLine="708"/>
        <w:rPr>
          <w:bCs/>
          <w:color w:val="000000"/>
          <w:szCs w:val="27"/>
        </w:rPr>
      </w:pPr>
      <w:r>
        <w:t>Представитель</w:t>
      </w:r>
      <w:r w:rsidRPr="003927D3">
        <w:t xml:space="preserve"> Поставщика, ответственный со стороны поставщика –</w:t>
      </w:r>
      <w:r>
        <w:t xml:space="preserve"> Бутова Татьяна Петровна</w:t>
      </w:r>
      <w:r w:rsidRPr="003927D3">
        <w:t>, тел.</w:t>
      </w:r>
      <w:r>
        <w:t xml:space="preserve"> </w:t>
      </w:r>
      <w:r w:rsidRPr="003927D3">
        <w:t>(факс)</w:t>
      </w:r>
      <w:r>
        <w:t xml:space="preserve"> +7(499) 262-25-03 (+7</w:t>
      </w:r>
      <w:r>
        <w:rPr>
          <w:bCs/>
          <w:spacing w:val="4"/>
          <w:szCs w:val="27"/>
        </w:rPr>
        <w:t>(499) 262-64-98</w:t>
      </w:r>
      <w:r>
        <w:t>)</w:t>
      </w:r>
      <w:r w:rsidRPr="003927D3">
        <w:t xml:space="preserve">, адрес электронной почты </w:t>
      </w:r>
      <w:hyperlink r:id="rId13" w:history="1">
        <w:r w:rsidRPr="0034756D">
          <w:rPr>
            <w:rStyle w:val="a6"/>
            <w:bCs/>
            <w:szCs w:val="27"/>
            <w:lang w:val="en-US"/>
          </w:rPr>
          <w:t>cit</w:t>
        </w:r>
        <w:r w:rsidRPr="009E5EF4">
          <w:rPr>
            <w:rStyle w:val="a6"/>
            <w:bCs/>
            <w:szCs w:val="27"/>
          </w:rPr>
          <w:t>@</w:t>
        </w:r>
        <w:r w:rsidRPr="0034756D">
          <w:rPr>
            <w:rStyle w:val="a6"/>
            <w:bCs/>
            <w:szCs w:val="27"/>
            <w:lang w:val="en-US"/>
          </w:rPr>
          <w:t>cit</w:t>
        </w:r>
        <w:r w:rsidRPr="009E5EF4">
          <w:rPr>
            <w:rStyle w:val="a6"/>
            <w:bCs/>
            <w:szCs w:val="27"/>
          </w:rPr>
          <w:t>.</w:t>
        </w:r>
        <w:r w:rsidRPr="0034756D">
          <w:rPr>
            <w:rStyle w:val="a6"/>
            <w:bCs/>
            <w:szCs w:val="27"/>
            <w:lang w:val="en-US"/>
          </w:rPr>
          <w:t>org</w:t>
        </w:r>
        <w:r w:rsidRPr="009E5EF4">
          <w:rPr>
            <w:rStyle w:val="a6"/>
            <w:bCs/>
            <w:szCs w:val="27"/>
          </w:rPr>
          <w:t>.</w:t>
        </w:r>
        <w:proofErr w:type="spellStart"/>
        <w:r w:rsidRPr="0034756D">
          <w:rPr>
            <w:rStyle w:val="a6"/>
            <w:bCs/>
            <w:szCs w:val="27"/>
            <w:lang w:val="en-US"/>
          </w:rPr>
          <w:t>mps</w:t>
        </w:r>
        <w:proofErr w:type="spellEnd"/>
      </w:hyperlink>
      <w:r w:rsidRPr="009E5EF4">
        <w:rPr>
          <w:bCs/>
          <w:color w:val="000000"/>
          <w:szCs w:val="27"/>
        </w:rPr>
        <w:t xml:space="preserve">. </w:t>
      </w:r>
    </w:p>
    <w:p w:rsidR="0024584A" w:rsidRPr="005D46D2" w:rsidRDefault="0024584A" w:rsidP="00B36A9A">
      <w:pPr>
        <w:spacing w:line="276" w:lineRule="auto"/>
        <w:jc w:val="both"/>
      </w:pPr>
      <w:r w:rsidRPr="005F5F54">
        <w:rPr>
          <w:b/>
          <w:iCs/>
          <w:szCs w:val="28"/>
        </w:rPr>
        <w:lastRenderedPageBreak/>
        <w:t xml:space="preserve">9. Требования к </w:t>
      </w:r>
      <w:r w:rsidR="005F5F54" w:rsidRPr="005F5F54">
        <w:rPr>
          <w:b/>
          <w:iCs/>
          <w:szCs w:val="28"/>
        </w:rPr>
        <w:t xml:space="preserve">работам: </w:t>
      </w:r>
      <w:r w:rsidR="005F5F54" w:rsidRPr="005F5F54">
        <w:rPr>
          <w:iCs/>
          <w:szCs w:val="28"/>
        </w:rPr>
        <w:t xml:space="preserve">соответствие выполненных работ </w:t>
      </w:r>
      <w:r w:rsidR="005F5F54">
        <w:rPr>
          <w:iCs/>
          <w:szCs w:val="28"/>
        </w:rPr>
        <w:t xml:space="preserve">Техническому заданию, </w:t>
      </w:r>
      <w:r w:rsidR="005F5F54" w:rsidRPr="000C5C9F">
        <w:t>Приложение 1 к Договору, являющееся его неотъемлемой частью</w:t>
      </w:r>
      <w:r w:rsidR="005F5F54" w:rsidRPr="005D46D2">
        <w:t>.</w:t>
      </w:r>
    </w:p>
    <w:p w:rsidR="001D2089" w:rsidRPr="005D46D2" w:rsidRDefault="001D2089" w:rsidP="00B36A9A">
      <w:pPr>
        <w:spacing w:line="276" w:lineRule="auto"/>
        <w:jc w:val="both"/>
        <w:rPr>
          <w:iCs/>
          <w:szCs w:val="28"/>
        </w:rPr>
      </w:pPr>
      <w:r w:rsidRPr="005D46D2">
        <w:rPr>
          <w:b/>
          <w:iCs/>
          <w:szCs w:val="28"/>
        </w:rPr>
        <w:t>10. Срок гарантийного обслуживания</w:t>
      </w:r>
      <w:r w:rsidR="000C5C9F" w:rsidRPr="000C5C9F">
        <w:rPr>
          <w:b/>
          <w:iCs/>
          <w:szCs w:val="28"/>
        </w:rPr>
        <w:t>:</w:t>
      </w:r>
      <w:r w:rsidRPr="005D46D2">
        <w:rPr>
          <w:iCs/>
          <w:szCs w:val="28"/>
        </w:rPr>
        <w:t xml:space="preserve"> </w:t>
      </w:r>
      <w:r w:rsidR="005D46D2">
        <w:t>г</w:t>
      </w:r>
      <w:r w:rsidR="000C5C9F" w:rsidRPr="000C5C9F">
        <w:t xml:space="preserve">арантийный срок на работы, выполненные </w:t>
      </w:r>
      <w:r w:rsidR="005D46D2">
        <w:t>и</w:t>
      </w:r>
      <w:r w:rsidR="000C5C9F" w:rsidRPr="000C5C9F">
        <w:t xml:space="preserve">сполнителем по Договору, составляет </w:t>
      </w:r>
      <w:r w:rsidR="000C5C9F">
        <w:t>360</w:t>
      </w:r>
      <w:r w:rsidR="000C5C9F" w:rsidRPr="000C5C9F">
        <w:t xml:space="preserve"> (</w:t>
      </w:r>
      <w:r w:rsidR="000C5C9F">
        <w:t>триста шестьдесят</w:t>
      </w:r>
      <w:r w:rsidR="000C5C9F" w:rsidRPr="000C5C9F">
        <w:t xml:space="preserve">) календарных дней с даты подписания акта приемки </w:t>
      </w:r>
      <w:r w:rsidR="00C06D04">
        <w:t xml:space="preserve">программного обеспечения в </w:t>
      </w:r>
      <w:proofErr w:type="gramStart"/>
      <w:r w:rsidR="00C06D04">
        <w:t>промышленную</w:t>
      </w:r>
      <w:proofErr w:type="gramEnd"/>
      <w:r w:rsidR="00C06D04">
        <w:t xml:space="preserve"> </w:t>
      </w:r>
      <w:proofErr w:type="spellStart"/>
      <w:r w:rsidR="00C06D04">
        <w:t>экпслуатацию</w:t>
      </w:r>
      <w:proofErr w:type="spellEnd"/>
      <w:r w:rsidR="000C5C9F">
        <w:t>.</w:t>
      </w:r>
      <w:r w:rsidR="000C5C9F" w:rsidRPr="000C5C9F">
        <w:t xml:space="preserve">  </w:t>
      </w:r>
    </w:p>
    <w:p w:rsidR="001D2089" w:rsidRPr="005F5F54" w:rsidRDefault="001D2089" w:rsidP="00B36A9A">
      <w:pPr>
        <w:spacing w:line="276" w:lineRule="auto"/>
        <w:jc w:val="both"/>
        <w:rPr>
          <w:b/>
        </w:rPr>
      </w:pPr>
      <w:r w:rsidRPr="005D46D2">
        <w:rPr>
          <w:b/>
          <w:iCs/>
          <w:szCs w:val="28"/>
        </w:rPr>
        <w:t xml:space="preserve">11. Объем гарантийного обслуживания: </w:t>
      </w:r>
      <w:r w:rsidR="005D46D2">
        <w:rPr>
          <w:iCs/>
          <w:szCs w:val="28"/>
        </w:rPr>
        <w:t>и</w:t>
      </w:r>
      <w:r w:rsidR="005D46D2" w:rsidRPr="005D46D2">
        <w:rPr>
          <w:iCs/>
          <w:szCs w:val="28"/>
        </w:rPr>
        <w:t xml:space="preserve">сполнитель производит устранение недостатков, выявляемых в результатах </w:t>
      </w:r>
      <w:r w:rsidR="005D46D2">
        <w:rPr>
          <w:iCs/>
          <w:szCs w:val="28"/>
        </w:rPr>
        <w:t>р</w:t>
      </w:r>
      <w:r w:rsidR="005D46D2" w:rsidRPr="005D46D2">
        <w:rPr>
          <w:iCs/>
          <w:szCs w:val="28"/>
        </w:rPr>
        <w:t xml:space="preserve">абот (включая, </w:t>
      </w:r>
      <w:proofErr w:type="gramStart"/>
      <w:r w:rsidR="005D46D2" w:rsidRPr="005D46D2">
        <w:rPr>
          <w:iCs/>
          <w:szCs w:val="28"/>
        </w:rPr>
        <w:t>но</w:t>
      </w:r>
      <w:proofErr w:type="gramEnd"/>
      <w:r w:rsidR="005D46D2" w:rsidRPr="005D46D2">
        <w:rPr>
          <w:iCs/>
          <w:szCs w:val="28"/>
        </w:rPr>
        <w:t xml:space="preserve"> не ограничиваясь: технические ошибки (дефекты), нештатные ситуации (сбои и отказы), связанные с работой прикладного программного обеспечения) в порядке и сроки, установленные в Регламенте гарантийного сопровождения (Приложение №4 к Договору),  являющемся неотъемлемой частью Договора.</w:t>
      </w:r>
    </w:p>
    <w:p w:rsidR="0024584A" w:rsidRDefault="0024584A" w:rsidP="00B36A9A">
      <w:pPr>
        <w:spacing w:line="276" w:lineRule="auto"/>
        <w:jc w:val="both"/>
      </w:pPr>
    </w:p>
    <w:p w:rsidR="0024584A" w:rsidRDefault="0024584A" w:rsidP="00B36A9A">
      <w:pPr>
        <w:spacing w:line="276" w:lineRule="auto"/>
        <w:jc w:val="both"/>
        <w:rPr>
          <w:b/>
        </w:rPr>
      </w:pPr>
      <w:r w:rsidRPr="00C43903">
        <w:rPr>
          <w:b/>
        </w:rPr>
        <w:t>В НАСТОЯЩЕЕ ИЗВЕЩЕНИЕ МОГУТ БЫТЬ ВНЕСЕНЫ ИЗМЕНЕНИЯ И ДОПОЛНЕНИЯ.</w:t>
      </w:r>
    </w:p>
    <w:p w:rsidR="001838B9" w:rsidRDefault="001838B9" w:rsidP="0024584A">
      <w:pPr>
        <w:jc w:val="both"/>
        <w:rPr>
          <w:b/>
        </w:rPr>
      </w:pPr>
    </w:p>
    <w:p w:rsidR="001838B9" w:rsidRDefault="001838B9" w:rsidP="0024584A">
      <w:pPr>
        <w:jc w:val="both"/>
        <w:rPr>
          <w:b/>
        </w:rPr>
      </w:pPr>
    </w:p>
    <w:p w:rsidR="001838B9" w:rsidRDefault="001838B9" w:rsidP="0024584A">
      <w:pPr>
        <w:jc w:val="both"/>
        <w:rPr>
          <w:b/>
        </w:rPr>
      </w:pPr>
    </w:p>
    <w:p w:rsidR="005D46D2" w:rsidRDefault="005D46D2">
      <w:pPr>
        <w:tabs>
          <w:tab w:val="clear" w:pos="709"/>
        </w:tabs>
        <w:spacing w:after="200" w:line="276" w:lineRule="auto"/>
        <w:ind w:firstLine="0"/>
        <w:rPr>
          <w:b/>
        </w:rPr>
      </w:pPr>
      <w:r>
        <w:rPr>
          <w:b/>
        </w:rPr>
        <w:br w:type="page"/>
      </w:r>
    </w:p>
    <w:p w:rsidR="001838B9" w:rsidRDefault="001838B9" w:rsidP="0024584A">
      <w:pPr>
        <w:jc w:val="both"/>
        <w:rPr>
          <w:b/>
        </w:rPr>
      </w:pPr>
    </w:p>
    <w:p w:rsidR="001838B9" w:rsidRDefault="001838B9" w:rsidP="001838B9">
      <w:pPr>
        <w:ind w:firstLine="0"/>
        <w:jc w:val="right"/>
        <w:rPr>
          <w:bCs/>
        </w:rPr>
      </w:pPr>
      <w:r w:rsidRPr="00507E90">
        <w:rPr>
          <w:bCs/>
        </w:rPr>
        <w:t>Приложение № 1</w:t>
      </w:r>
    </w:p>
    <w:p w:rsidR="001838B9" w:rsidRDefault="001838B9" w:rsidP="001838B9">
      <w:pPr>
        <w:ind w:firstLine="0"/>
        <w:jc w:val="right"/>
        <w:rPr>
          <w:bCs/>
        </w:rPr>
      </w:pPr>
      <w:r>
        <w:rPr>
          <w:bCs/>
        </w:rPr>
        <w:t xml:space="preserve">К Извещению о размещении заказа </w:t>
      </w:r>
      <w:r w:rsidRPr="005D46D2">
        <w:rPr>
          <w:bCs/>
          <w:highlight w:val="yellow"/>
        </w:rPr>
        <w:t xml:space="preserve">№ </w:t>
      </w:r>
      <w:proofErr w:type="gramStart"/>
      <w:r w:rsidRPr="005D46D2">
        <w:rPr>
          <w:bCs/>
          <w:highlight w:val="yellow"/>
        </w:rPr>
        <w:t>ЕП</w:t>
      </w:r>
      <w:proofErr w:type="gramEnd"/>
      <w:r w:rsidRPr="005D46D2">
        <w:rPr>
          <w:bCs/>
          <w:highlight w:val="yellow"/>
        </w:rPr>
        <w:t>/___/____/____</w:t>
      </w:r>
      <w:r w:rsidRPr="001838B9">
        <w:rPr>
          <w:bCs/>
        </w:rPr>
        <w:t xml:space="preserve">  </w:t>
      </w:r>
    </w:p>
    <w:p w:rsidR="001838B9" w:rsidRDefault="001838B9" w:rsidP="001838B9">
      <w:pPr>
        <w:ind w:firstLine="0"/>
        <w:jc w:val="right"/>
        <w:rPr>
          <w:bCs/>
        </w:rPr>
      </w:pPr>
    </w:p>
    <w:p w:rsidR="001838B9" w:rsidRPr="003909BE" w:rsidRDefault="001838B9" w:rsidP="001838B9">
      <w:pPr>
        <w:pStyle w:val="ab"/>
        <w:spacing w:line="360" w:lineRule="exact"/>
        <w:ind w:left="0" w:firstLine="709"/>
        <w:jc w:val="center"/>
        <w:rPr>
          <w:rFonts w:ascii="Times New Roman" w:hAnsi="Times New Roman"/>
          <w:b/>
          <w:sz w:val="28"/>
          <w:szCs w:val="28"/>
        </w:rPr>
      </w:pPr>
      <w:r w:rsidRPr="003909BE">
        <w:rPr>
          <w:rFonts w:ascii="Times New Roman" w:hAnsi="Times New Roman"/>
          <w:b/>
          <w:sz w:val="28"/>
          <w:szCs w:val="28"/>
        </w:rPr>
        <w:t>Календарный план</w:t>
      </w:r>
    </w:p>
    <w:p w:rsidR="001838B9" w:rsidRPr="00E17FDE" w:rsidRDefault="001838B9" w:rsidP="001838B9">
      <w:pPr>
        <w:jc w:val="both"/>
        <w:rPr>
          <w:szCs w:val="28"/>
        </w:rPr>
      </w:pPr>
      <w:r>
        <w:rPr>
          <w:szCs w:val="28"/>
        </w:rPr>
        <w:t>на выполнение работ по</w:t>
      </w:r>
      <w:r w:rsidRPr="00E17FDE">
        <w:rPr>
          <w:szCs w:val="28"/>
        </w:rPr>
        <w:t xml:space="preserve"> </w:t>
      </w:r>
      <w:r>
        <w:rPr>
          <w:szCs w:val="28"/>
        </w:rPr>
        <w:t>раз</w:t>
      </w:r>
      <w:r w:rsidRPr="00F7153E">
        <w:rPr>
          <w:szCs w:val="28"/>
        </w:rPr>
        <w:t>работк</w:t>
      </w:r>
      <w:r>
        <w:rPr>
          <w:szCs w:val="28"/>
        </w:rPr>
        <w:t>е</w:t>
      </w:r>
      <w:r w:rsidRPr="00F7153E">
        <w:rPr>
          <w:szCs w:val="28"/>
        </w:rPr>
        <w:t xml:space="preserve"> </w:t>
      </w:r>
      <w:r>
        <w:rPr>
          <w:szCs w:val="28"/>
        </w:rPr>
        <w:t xml:space="preserve">интеграционного модуля </w:t>
      </w:r>
      <w:r w:rsidRPr="00F7153E">
        <w:rPr>
          <w:szCs w:val="28"/>
        </w:rPr>
        <w:t xml:space="preserve">программного обеспечения «Диспетчеризация и управление контейнерами и подвижным составом» </w:t>
      </w:r>
      <w:r>
        <w:rPr>
          <w:szCs w:val="28"/>
        </w:rPr>
        <w:t>для</w:t>
      </w:r>
      <w:r w:rsidRPr="00F7153E">
        <w:rPr>
          <w:szCs w:val="28"/>
        </w:rPr>
        <w:t xml:space="preserve"> взаимодействия с системой планирования продаж и </w:t>
      </w:r>
      <w:r w:rsidRPr="00F039F3">
        <w:rPr>
          <w:szCs w:val="28"/>
        </w:rPr>
        <w:t>операций</w:t>
      </w:r>
      <w:r w:rsidRPr="00D816FE">
        <w:rPr>
          <w:color w:val="000000"/>
          <w:spacing w:val="-4"/>
        </w:rPr>
        <w:t xml:space="preserve"> </w:t>
      </w:r>
      <w:r>
        <w:rPr>
          <w:color w:val="000000"/>
          <w:spacing w:val="-4"/>
        </w:rPr>
        <w:t xml:space="preserve">на базе программного продукта корпорации </w:t>
      </w:r>
      <w:r>
        <w:rPr>
          <w:color w:val="000000"/>
          <w:spacing w:val="-4"/>
          <w:lang w:val="en-US"/>
        </w:rPr>
        <w:t>IBM</w:t>
      </w:r>
      <w:r>
        <w:rPr>
          <w:color w:val="000000"/>
          <w:spacing w:val="-4"/>
        </w:rPr>
        <w:t xml:space="preserve"> </w:t>
      </w:r>
      <w:r>
        <w:rPr>
          <w:color w:val="000000"/>
          <w:spacing w:val="-4"/>
          <w:lang w:val="en-US"/>
        </w:rPr>
        <w:t>ILOG</w:t>
      </w:r>
      <w:r w:rsidRPr="00BB4D01">
        <w:rPr>
          <w:color w:val="000000"/>
          <w:spacing w:val="-4"/>
        </w:rPr>
        <w:t xml:space="preserve"> </w:t>
      </w:r>
      <w:r>
        <w:rPr>
          <w:color w:val="000000"/>
          <w:spacing w:val="-4"/>
          <w:lang w:val="en-US"/>
        </w:rPr>
        <w:t>Decision</w:t>
      </w:r>
      <w:r w:rsidRPr="00BB4D01">
        <w:rPr>
          <w:color w:val="000000"/>
          <w:spacing w:val="-4"/>
        </w:rPr>
        <w:t xml:space="preserve"> </w:t>
      </w:r>
      <w:r>
        <w:rPr>
          <w:color w:val="000000"/>
          <w:spacing w:val="-4"/>
          <w:lang w:val="en-US"/>
        </w:rPr>
        <w:t>Optimization</w:t>
      </w:r>
      <w:r w:rsidRPr="00BB4D01">
        <w:rPr>
          <w:color w:val="000000"/>
          <w:spacing w:val="-4"/>
        </w:rPr>
        <w:t xml:space="preserve"> </w:t>
      </w:r>
      <w:r>
        <w:rPr>
          <w:color w:val="000000"/>
          <w:spacing w:val="-4"/>
          <w:lang w:val="en-US"/>
        </w:rPr>
        <w:t>Center</w:t>
      </w:r>
      <w:r w:rsidRPr="00E17FDE">
        <w:rPr>
          <w:szCs w:val="28"/>
        </w:rPr>
        <w:t>.</w:t>
      </w:r>
    </w:p>
    <w:tbl>
      <w:tblPr>
        <w:tblStyle w:val="ad"/>
        <w:tblW w:w="10173" w:type="dxa"/>
        <w:tblLook w:val="04A0" w:firstRow="1" w:lastRow="0" w:firstColumn="1" w:lastColumn="0" w:noHBand="0" w:noVBand="1"/>
      </w:tblPr>
      <w:tblGrid>
        <w:gridCol w:w="560"/>
        <w:gridCol w:w="2284"/>
        <w:gridCol w:w="1578"/>
        <w:gridCol w:w="1578"/>
        <w:gridCol w:w="4173"/>
      </w:tblGrid>
      <w:tr w:rsidR="001838B9" w:rsidRPr="005D46D2" w:rsidTr="005D46D2">
        <w:tc>
          <w:tcPr>
            <w:tcW w:w="560" w:type="dxa"/>
          </w:tcPr>
          <w:p w:rsidR="001838B9" w:rsidRPr="005D46D2" w:rsidRDefault="001838B9" w:rsidP="005D46D2">
            <w:pPr>
              <w:pStyle w:val="ab"/>
              <w:spacing w:line="240" w:lineRule="auto"/>
              <w:ind w:left="0"/>
              <w:jc w:val="center"/>
              <w:rPr>
                <w:rFonts w:ascii="Times New Roman" w:hAnsi="Times New Roman"/>
                <w:b/>
                <w:sz w:val="24"/>
                <w:szCs w:val="24"/>
              </w:rPr>
            </w:pPr>
            <w:r w:rsidRPr="005D46D2">
              <w:rPr>
                <w:rFonts w:ascii="Times New Roman" w:hAnsi="Times New Roman"/>
                <w:b/>
                <w:sz w:val="24"/>
                <w:szCs w:val="24"/>
              </w:rPr>
              <w:t>№</w:t>
            </w:r>
          </w:p>
          <w:p w:rsidR="001838B9" w:rsidRPr="005D46D2" w:rsidRDefault="001838B9" w:rsidP="005D46D2">
            <w:pPr>
              <w:pStyle w:val="ab"/>
              <w:spacing w:line="240" w:lineRule="auto"/>
              <w:ind w:left="0"/>
              <w:jc w:val="center"/>
              <w:rPr>
                <w:rFonts w:ascii="Times New Roman" w:hAnsi="Times New Roman"/>
                <w:b/>
                <w:sz w:val="24"/>
                <w:szCs w:val="24"/>
              </w:rPr>
            </w:pPr>
            <w:proofErr w:type="gramStart"/>
            <w:r w:rsidRPr="005D46D2">
              <w:rPr>
                <w:rFonts w:ascii="Times New Roman" w:hAnsi="Times New Roman"/>
                <w:b/>
                <w:sz w:val="24"/>
                <w:szCs w:val="24"/>
              </w:rPr>
              <w:t>п</w:t>
            </w:r>
            <w:proofErr w:type="gramEnd"/>
            <w:r w:rsidRPr="005D46D2">
              <w:rPr>
                <w:rFonts w:ascii="Times New Roman" w:hAnsi="Times New Roman"/>
                <w:b/>
                <w:sz w:val="24"/>
                <w:szCs w:val="24"/>
              </w:rPr>
              <w:t>/п</w:t>
            </w:r>
          </w:p>
        </w:tc>
        <w:tc>
          <w:tcPr>
            <w:tcW w:w="2284" w:type="dxa"/>
          </w:tcPr>
          <w:p w:rsidR="001838B9" w:rsidRPr="005D46D2" w:rsidRDefault="001838B9" w:rsidP="005D46D2">
            <w:pPr>
              <w:pStyle w:val="ab"/>
              <w:spacing w:line="240" w:lineRule="auto"/>
              <w:ind w:left="0"/>
              <w:jc w:val="center"/>
              <w:rPr>
                <w:rFonts w:ascii="Times New Roman" w:hAnsi="Times New Roman"/>
                <w:b/>
                <w:sz w:val="24"/>
                <w:szCs w:val="24"/>
              </w:rPr>
            </w:pPr>
            <w:r w:rsidRPr="005D46D2">
              <w:rPr>
                <w:rFonts w:ascii="Times New Roman" w:hAnsi="Times New Roman"/>
                <w:b/>
                <w:sz w:val="24"/>
                <w:szCs w:val="24"/>
              </w:rPr>
              <w:t>Наименование работы</w:t>
            </w:r>
          </w:p>
        </w:tc>
        <w:tc>
          <w:tcPr>
            <w:tcW w:w="1578" w:type="dxa"/>
          </w:tcPr>
          <w:p w:rsidR="001838B9" w:rsidRPr="005D46D2" w:rsidRDefault="001838B9" w:rsidP="005D46D2">
            <w:pPr>
              <w:pStyle w:val="ab"/>
              <w:spacing w:line="240" w:lineRule="auto"/>
              <w:ind w:left="0"/>
              <w:jc w:val="center"/>
              <w:rPr>
                <w:rFonts w:ascii="Times New Roman" w:hAnsi="Times New Roman"/>
                <w:b/>
                <w:sz w:val="24"/>
                <w:szCs w:val="24"/>
              </w:rPr>
            </w:pPr>
            <w:r w:rsidRPr="005D46D2">
              <w:rPr>
                <w:rFonts w:ascii="Times New Roman" w:hAnsi="Times New Roman"/>
                <w:b/>
                <w:sz w:val="24"/>
                <w:szCs w:val="24"/>
              </w:rPr>
              <w:t>Сумма выполнения работ, руб.  без НДС</w:t>
            </w:r>
          </w:p>
        </w:tc>
        <w:tc>
          <w:tcPr>
            <w:tcW w:w="1578" w:type="dxa"/>
          </w:tcPr>
          <w:p w:rsidR="001838B9" w:rsidRPr="005D46D2" w:rsidRDefault="001838B9" w:rsidP="005D46D2">
            <w:pPr>
              <w:pStyle w:val="ab"/>
              <w:spacing w:line="240" w:lineRule="auto"/>
              <w:ind w:left="0"/>
              <w:jc w:val="center"/>
              <w:rPr>
                <w:rFonts w:ascii="Times New Roman" w:hAnsi="Times New Roman"/>
                <w:b/>
                <w:sz w:val="24"/>
                <w:szCs w:val="24"/>
              </w:rPr>
            </w:pPr>
            <w:r w:rsidRPr="005D46D2">
              <w:rPr>
                <w:rFonts w:ascii="Times New Roman" w:hAnsi="Times New Roman"/>
                <w:b/>
                <w:sz w:val="24"/>
                <w:szCs w:val="24"/>
              </w:rPr>
              <w:t>Срок выполнения работ (кал</w:t>
            </w:r>
            <w:proofErr w:type="gramStart"/>
            <w:r w:rsidRPr="005D46D2">
              <w:rPr>
                <w:rFonts w:ascii="Times New Roman" w:hAnsi="Times New Roman"/>
                <w:b/>
                <w:sz w:val="24"/>
                <w:szCs w:val="24"/>
              </w:rPr>
              <w:t>.</w:t>
            </w:r>
            <w:proofErr w:type="gramEnd"/>
            <w:r w:rsidRPr="005D46D2">
              <w:rPr>
                <w:rFonts w:ascii="Times New Roman" w:hAnsi="Times New Roman"/>
                <w:b/>
                <w:sz w:val="24"/>
                <w:szCs w:val="24"/>
              </w:rPr>
              <w:t xml:space="preserve"> </w:t>
            </w:r>
            <w:proofErr w:type="gramStart"/>
            <w:r w:rsidRPr="005D46D2">
              <w:rPr>
                <w:rFonts w:ascii="Times New Roman" w:hAnsi="Times New Roman"/>
                <w:b/>
                <w:sz w:val="24"/>
                <w:szCs w:val="24"/>
              </w:rPr>
              <w:t>д</w:t>
            </w:r>
            <w:proofErr w:type="gramEnd"/>
            <w:r w:rsidRPr="005D46D2">
              <w:rPr>
                <w:rFonts w:ascii="Times New Roman" w:hAnsi="Times New Roman"/>
                <w:b/>
                <w:sz w:val="24"/>
                <w:szCs w:val="24"/>
              </w:rPr>
              <w:t>ни)</w:t>
            </w:r>
          </w:p>
        </w:tc>
        <w:tc>
          <w:tcPr>
            <w:tcW w:w="4173" w:type="dxa"/>
          </w:tcPr>
          <w:p w:rsidR="001838B9" w:rsidRPr="005D46D2" w:rsidRDefault="001838B9" w:rsidP="005D46D2">
            <w:pPr>
              <w:pStyle w:val="ab"/>
              <w:spacing w:line="240" w:lineRule="auto"/>
              <w:ind w:left="0"/>
              <w:jc w:val="center"/>
              <w:rPr>
                <w:rFonts w:ascii="Times New Roman" w:hAnsi="Times New Roman"/>
                <w:b/>
                <w:sz w:val="24"/>
                <w:szCs w:val="24"/>
              </w:rPr>
            </w:pPr>
            <w:r w:rsidRPr="005D46D2">
              <w:rPr>
                <w:rFonts w:ascii="Times New Roman" w:hAnsi="Times New Roman"/>
                <w:b/>
                <w:sz w:val="24"/>
                <w:szCs w:val="24"/>
              </w:rPr>
              <w:t xml:space="preserve">Форма завершения работы </w:t>
            </w:r>
          </w:p>
        </w:tc>
      </w:tr>
      <w:tr w:rsidR="001838B9" w:rsidRPr="005D46D2" w:rsidTr="005D46D2">
        <w:tc>
          <w:tcPr>
            <w:tcW w:w="560" w:type="dxa"/>
          </w:tcPr>
          <w:p w:rsidR="001838B9" w:rsidRPr="005D46D2" w:rsidRDefault="001838B9" w:rsidP="005D46D2">
            <w:pPr>
              <w:pStyle w:val="ab"/>
              <w:spacing w:line="240" w:lineRule="auto"/>
              <w:ind w:left="0"/>
              <w:jc w:val="both"/>
              <w:rPr>
                <w:rFonts w:ascii="Times New Roman" w:hAnsi="Times New Roman"/>
                <w:sz w:val="24"/>
                <w:szCs w:val="24"/>
              </w:rPr>
            </w:pPr>
            <w:r w:rsidRPr="005D46D2">
              <w:rPr>
                <w:rFonts w:ascii="Times New Roman" w:hAnsi="Times New Roman"/>
                <w:sz w:val="24"/>
                <w:szCs w:val="24"/>
              </w:rPr>
              <w:t>1.</w:t>
            </w:r>
          </w:p>
        </w:tc>
        <w:tc>
          <w:tcPr>
            <w:tcW w:w="2284" w:type="dxa"/>
          </w:tcPr>
          <w:p w:rsidR="001838B9" w:rsidRPr="005D46D2" w:rsidRDefault="001838B9" w:rsidP="005D46D2">
            <w:pPr>
              <w:pStyle w:val="ab"/>
              <w:spacing w:line="240" w:lineRule="auto"/>
              <w:ind w:left="0"/>
              <w:jc w:val="both"/>
              <w:rPr>
                <w:rFonts w:ascii="Times New Roman" w:hAnsi="Times New Roman"/>
                <w:sz w:val="24"/>
                <w:szCs w:val="24"/>
              </w:rPr>
            </w:pPr>
            <w:r w:rsidRPr="005D46D2">
              <w:rPr>
                <w:rFonts w:ascii="Times New Roman" w:hAnsi="Times New Roman"/>
                <w:sz w:val="24"/>
                <w:szCs w:val="24"/>
              </w:rPr>
              <w:t>Разработка программного обеспечения и рабочей документации, тестирование на базовом объекте ПАО «</w:t>
            </w:r>
            <w:proofErr w:type="spellStart"/>
            <w:r w:rsidRPr="005D46D2">
              <w:rPr>
                <w:rFonts w:ascii="Times New Roman" w:hAnsi="Times New Roman"/>
                <w:sz w:val="24"/>
                <w:szCs w:val="24"/>
              </w:rPr>
              <w:t>ТрансКонтейнер</w:t>
            </w:r>
            <w:proofErr w:type="spellEnd"/>
            <w:r w:rsidRPr="005D46D2">
              <w:rPr>
                <w:rFonts w:ascii="Times New Roman" w:hAnsi="Times New Roman"/>
                <w:sz w:val="24"/>
                <w:szCs w:val="24"/>
              </w:rPr>
              <w:t>». Ввод в опытную эксплуатацию</w:t>
            </w:r>
          </w:p>
        </w:tc>
        <w:tc>
          <w:tcPr>
            <w:tcW w:w="1578" w:type="dxa"/>
          </w:tcPr>
          <w:p w:rsidR="001838B9" w:rsidRPr="005D46D2" w:rsidRDefault="001838B9" w:rsidP="005D46D2">
            <w:pPr>
              <w:pStyle w:val="ab"/>
              <w:spacing w:line="240" w:lineRule="auto"/>
              <w:ind w:left="0"/>
              <w:jc w:val="both"/>
              <w:rPr>
                <w:rFonts w:ascii="Times New Roman" w:hAnsi="Times New Roman"/>
                <w:sz w:val="24"/>
                <w:szCs w:val="24"/>
              </w:rPr>
            </w:pPr>
            <w:r w:rsidRPr="005D46D2">
              <w:rPr>
                <w:rFonts w:ascii="Times New Roman" w:hAnsi="Times New Roman"/>
                <w:sz w:val="24"/>
                <w:szCs w:val="24"/>
              </w:rPr>
              <w:t>900 000,00</w:t>
            </w:r>
          </w:p>
        </w:tc>
        <w:tc>
          <w:tcPr>
            <w:tcW w:w="1578" w:type="dxa"/>
          </w:tcPr>
          <w:p w:rsidR="001838B9" w:rsidRPr="005D46D2" w:rsidRDefault="001838B9" w:rsidP="005D46D2">
            <w:pPr>
              <w:pStyle w:val="ab"/>
              <w:spacing w:line="240" w:lineRule="auto"/>
              <w:ind w:left="0"/>
              <w:jc w:val="both"/>
              <w:rPr>
                <w:rFonts w:ascii="Times New Roman" w:hAnsi="Times New Roman"/>
                <w:sz w:val="24"/>
                <w:szCs w:val="24"/>
              </w:rPr>
            </w:pPr>
            <w:r w:rsidRPr="005D46D2">
              <w:rPr>
                <w:rFonts w:ascii="Times New Roman" w:hAnsi="Times New Roman"/>
                <w:sz w:val="24"/>
                <w:szCs w:val="24"/>
              </w:rPr>
              <w:t>В течение    30 дней после подписания договора</w:t>
            </w:r>
          </w:p>
        </w:tc>
        <w:tc>
          <w:tcPr>
            <w:tcW w:w="4173" w:type="dxa"/>
          </w:tcPr>
          <w:p w:rsidR="001838B9" w:rsidRPr="005D46D2" w:rsidRDefault="001838B9" w:rsidP="001838B9">
            <w:pPr>
              <w:pStyle w:val="ab"/>
              <w:numPr>
                <w:ilvl w:val="0"/>
                <w:numId w:val="7"/>
              </w:numPr>
              <w:spacing w:after="0" w:line="240" w:lineRule="auto"/>
              <w:rPr>
                <w:rFonts w:ascii="Times New Roman" w:hAnsi="Times New Roman"/>
                <w:sz w:val="24"/>
                <w:szCs w:val="24"/>
              </w:rPr>
            </w:pPr>
            <w:r w:rsidRPr="005D46D2">
              <w:rPr>
                <w:rFonts w:ascii="Times New Roman" w:hAnsi="Times New Roman"/>
                <w:sz w:val="24"/>
                <w:szCs w:val="24"/>
              </w:rPr>
              <w:t>Руководство   администратора</w:t>
            </w:r>
          </w:p>
          <w:p w:rsidR="001838B9" w:rsidRPr="005D46D2" w:rsidRDefault="001838B9" w:rsidP="001D2089">
            <w:pPr>
              <w:pStyle w:val="ab"/>
              <w:numPr>
                <w:ilvl w:val="0"/>
                <w:numId w:val="7"/>
              </w:numPr>
              <w:tabs>
                <w:tab w:val="left" w:pos="34"/>
              </w:tabs>
              <w:spacing w:after="0" w:line="240" w:lineRule="auto"/>
              <w:rPr>
                <w:rFonts w:ascii="Times New Roman" w:hAnsi="Times New Roman"/>
                <w:sz w:val="24"/>
                <w:szCs w:val="24"/>
              </w:rPr>
            </w:pPr>
            <w:r w:rsidRPr="005D46D2">
              <w:rPr>
                <w:rFonts w:ascii="Times New Roman" w:hAnsi="Times New Roman"/>
                <w:sz w:val="24"/>
                <w:szCs w:val="24"/>
              </w:rPr>
              <w:t>Отчет о выполненной работе по этапу 1</w:t>
            </w:r>
          </w:p>
          <w:p w:rsidR="001838B9" w:rsidRPr="005D46D2" w:rsidRDefault="001838B9" w:rsidP="005D46D2">
            <w:pPr>
              <w:pStyle w:val="ab"/>
              <w:numPr>
                <w:ilvl w:val="0"/>
                <w:numId w:val="7"/>
              </w:numPr>
              <w:spacing w:line="240" w:lineRule="auto"/>
              <w:rPr>
                <w:rFonts w:ascii="Times New Roman" w:hAnsi="Times New Roman"/>
                <w:sz w:val="24"/>
                <w:szCs w:val="24"/>
              </w:rPr>
            </w:pPr>
            <w:r w:rsidRPr="005D46D2">
              <w:rPr>
                <w:rFonts w:ascii="Times New Roman" w:hAnsi="Times New Roman"/>
                <w:sz w:val="24"/>
                <w:szCs w:val="24"/>
              </w:rPr>
              <w:t>Акт ввода программного обеспечения в опытную эксплуатацию</w:t>
            </w:r>
          </w:p>
          <w:p w:rsidR="001838B9" w:rsidRPr="005D46D2" w:rsidRDefault="001838B9" w:rsidP="005D46D2">
            <w:pPr>
              <w:pStyle w:val="ab"/>
              <w:numPr>
                <w:ilvl w:val="0"/>
                <w:numId w:val="7"/>
              </w:numPr>
              <w:spacing w:line="240" w:lineRule="auto"/>
              <w:rPr>
                <w:rFonts w:ascii="Times New Roman" w:hAnsi="Times New Roman"/>
                <w:sz w:val="24"/>
                <w:szCs w:val="24"/>
              </w:rPr>
            </w:pPr>
            <w:r w:rsidRPr="005D46D2">
              <w:rPr>
                <w:rFonts w:ascii="Times New Roman" w:hAnsi="Times New Roman"/>
                <w:sz w:val="24"/>
                <w:szCs w:val="24"/>
              </w:rPr>
              <w:t>Акт сдачи-приемки выполненных работ по этапу 1</w:t>
            </w:r>
          </w:p>
          <w:p w:rsidR="001838B9" w:rsidRPr="005D46D2" w:rsidRDefault="001838B9" w:rsidP="005D46D2">
            <w:pPr>
              <w:ind w:left="360"/>
              <w:rPr>
                <w:sz w:val="24"/>
                <w:szCs w:val="24"/>
              </w:rPr>
            </w:pPr>
          </w:p>
        </w:tc>
      </w:tr>
      <w:tr w:rsidR="001838B9" w:rsidRPr="005D46D2" w:rsidTr="005D46D2">
        <w:tc>
          <w:tcPr>
            <w:tcW w:w="560" w:type="dxa"/>
          </w:tcPr>
          <w:p w:rsidR="001838B9" w:rsidRPr="005D46D2" w:rsidRDefault="001838B9" w:rsidP="005D46D2">
            <w:pPr>
              <w:pStyle w:val="ab"/>
              <w:spacing w:line="240" w:lineRule="auto"/>
              <w:ind w:left="0"/>
              <w:jc w:val="both"/>
              <w:rPr>
                <w:rFonts w:ascii="Times New Roman" w:hAnsi="Times New Roman"/>
                <w:sz w:val="24"/>
                <w:szCs w:val="24"/>
              </w:rPr>
            </w:pPr>
            <w:r w:rsidRPr="005D46D2">
              <w:rPr>
                <w:rFonts w:ascii="Times New Roman" w:hAnsi="Times New Roman"/>
                <w:sz w:val="24"/>
                <w:szCs w:val="24"/>
              </w:rPr>
              <w:t>2.</w:t>
            </w:r>
          </w:p>
        </w:tc>
        <w:tc>
          <w:tcPr>
            <w:tcW w:w="2284" w:type="dxa"/>
          </w:tcPr>
          <w:p w:rsidR="001838B9" w:rsidRPr="005D46D2" w:rsidRDefault="001838B9" w:rsidP="005D46D2">
            <w:pPr>
              <w:pStyle w:val="ab"/>
              <w:spacing w:line="240" w:lineRule="auto"/>
              <w:ind w:left="0"/>
              <w:jc w:val="both"/>
              <w:rPr>
                <w:rFonts w:ascii="Times New Roman" w:hAnsi="Times New Roman"/>
                <w:sz w:val="24"/>
                <w:szCs w:val="24"/>
              </w:rPr>
            </w:pPr>
            <w:r w:rsidRPr="005D46D2">
              <w:rPr>
                <w:rFonts w:ascii="Times New Roman" w:hAnsi="Times New Roman"/>
                <w:sz w:val="24"/>
                <w:szCs w:val="24"/>
              </w:rPr>
              <w:t>Опытная эксплуатация программного обеспечения</w:t>
            </w:r>
          </w:p>
        </w:tc>
        <w:tc>
          <w:tcPr>
            <w:tcW w:w="1578" w:type="dxa"/>
          </w:tcPr>
          <w:p w:rsidR="001838B9" w:rsidRPr="005D46D2" w:rsidRDefault="001838B9" w:rsidP="005D46D2">
            <w:pPr>
              <w:pStyle w:val="ab"/>
              <w:spacing w:line="240" w:lineRule="auto"/>
              <w:ind w:left="0"/>
              <w:jc w:val="both"/>
              <w:rPr>
                <w:rFonts w:ascii="Times New Roman" w:hAnsi="Times New Roman"/>
                <w:sz w:val="24"/>
                <w:szCs w:val="24"/>
              </w:rPr>
            </w:pPr>
            <w:r w:rsidRPr="005D46D2">
              <w:rPr>
                <w:rFonts w:ascii="Times New Roman" w:hAnsi="Times New Roman"/>
                <w:sz w:val="24"/>
                <w:szCs w:val="24"/>
              </w:rPr>
              <w:t>250 000,00</w:t>
            </w:r>
          </w:p>
        </w:tc>
        <w:tc>
          <w:tcPr>
            <w:tcW w:w="1578" w:type="dxa"/>
          </w:tcPr>
          <w:p w:rsidR="001838B9" w:rsidRPr="005D46D2" w:rsidRDefault="001838B9" w:rsidP="005D46D2">
            <w:pPr>
              <w:pStyle w:val="ab"/>
              <w:spacing w:line="240" w:lineRule="auto"/>
              <w:ind w:left="0"/>
              <w:jc w:val="both"/>
              <w:rPr>
                <w:rFonts w:ascii="Times New Roman" w:hAnsi="Times New Roman"/>
                <w:sz w:val="24"/>
                <w:szCs w:val="24"/>
              </w:rPr>
            </w:pPr>
            <w:r w:rsidRPr="005D46D2">
              <w:rPr>
                <w:rFonts w:ascii="Times New Roman" w:hAnsi="Times New Roman"/>
                <w:sz w:val="24"/>
                <w:szCs w:val="24"/>
              </w:rPr>
              <w:t>15 дней после закрытия 1 этапа</w:t>
            </w:r>
          </w:p>
        </w:tc>
        <w:tc>
          <w:tcPr>
            <w:tcW w:w="4173" w:type="dxa"/>
          </w:tcPr>
          <w:p w:rsidR="001838B9" w:rsidRPr="005D46D2" w:rsidRDefault="001838B9" w:rsidP="005D46D2">
            <w:pPr>
              <w:pStyle w:val="ab"/>
              <w:numPr>
                <w:ilvl w:val="0"/>
                <w:numId w:val="8"/>
              </w:numPr>
              <w:spacing w:line="240" w:lineRule="auto"/>
              <w:jc w:val="both"/>
              <w:rPr>
                <w:rFonts w:ascii="Times New Roman" w:hAnsi="Times New Roman"/>
                <w:sz w:val="24"/>
                <w:szCs w:val="24"/>
              </w:rPr>
            </w:pPr>
            <w:r w:rsidRPr="005D46D2">
              <w:rPr>
                <w:rFonts w:ascii="Times New Roman" w:hAnsi="Times New Roman"/>
                <w:sz w:val="24"/>
                <w:szCs w:val="24"/>
              </w:rPr>
              <w:t>Программа и методика испытаний (ПИМИ), тестовый пример и протокол результатов тестирования с перечнем замечаний по результатам опытной эксплуатации</w:t>
            </w:r>
          </w:p>
          <w:p w:rsidR="001838B9" w:rsidRPr="005D46D2" w:rsidRDefault="001838B9" w:rsidP="005D46D2">
            <w:pPr>
              <w:pStyle w:val="ab"/>
              <w:numPr>
                <w:ilvl w:val="0"/>
                <w:numId w:val="7"/>
              </w:numPr>
              <w:spacing w:line="240" w:lineRule="auto"/>
              <w:rPr>
                <w:rFonts w:ascii="Times New Roman" w:hAnsi="Times New Roman"/>
                <w:sz w:val="24"/>
                <w:szCs w:val="24"/>
              </w:rPr>
            </w:pPr>
            <w:r w:rsidRPr="005D46D2">
              <w:rPr>
                <w:rFonts w:ascii="Times New Roman" w:hAnsi="Times New Roman"/>
                <w:sz w:val="24"/>
                <w:szCs w:val="24"/>
              </w:rPr>
              <w:t>Акт сдачи-приемки выполненных работ по этапу 2</w:t>
            </w:r>
          </w:p>
        </w:tc>
      </w:tr>
      <w:tr w:rsidR="001838B9" w:rsidRPr="005D46D2" w:rsidTr="005D46D2">
        <w:tc>
          <w:tcPr>
            <w:tcW w:w="560" w:type="dxa"/>
          </w:tcPr>
          <w:p w:rsidR="001838B9" w:rsidRPr="005D46D2" w:rsidRDefault="001838B9" w:rsidP="005D46D2">
            <w:pPr>
              <w:pStyle w:val="ab"/>
              <w:spacing w:line="240" w:lineRule="auto"/>
              <w:ind w:left="0"/>
              <w:jc w:val="both"/>
              <w:rPr>
                <w:rFonts w:ascii="Times New Roman" w:hAnsi="Times New Roman"/>
                <w:sz w:val="24"/>
                <w:szCs w:val="24"/>
              </w:rPr>
            </w:pPr>
            <w:r w:rsidRPr="005D46D2">
              <w:rPr>
                <w:rFonts w:ascii="Times New Roman" w:hAnsi="Times New Roman"/>
                <w:sz w:val="24"/>
                <w:szCs w:val="24"/>
              </w:rPr>
              <w:t>3.</w:t>
            </w:r>
          </w:p>
        </w:tc>
        <w:tc>
          <w:tcPr>
            <w:tcW w:w="2284" w:type="dxa"/>
          </w:tcPr>
          <w:p w:rsidR="001838B9" w:rsidRPr="005D46D2" w:rsidRDefault="001838B9" w:rsidP="005D46D2">
            <w:pPr>
              <w:pStyle w:val="ab"/>
              <w:spacing w:line="240" w:lineRule="auto"/>
              <w:ind w:left="0"/>
              <w:jc w:val="both"/>
              <w:rPr>
                <w:rFonts w:ascii="Times New Roman" w:hAnsi="Times New Roman"/>
                <w:sz w:val="24"/>
                <w:szCs w:val="24"/>
              </w:rPr>
            </w:pPr>
            <w:r w:rsidRPr="005D46D2">
              <w:rPr>
                <w:rFonts w:ascii="Times New Roman" w:hAnsi="Times New Roman"/>
                <w:sz w:val="24"/>
                <w:szCs w:val="24"/>
              </w:rPr>
              <w:t>Корректировка программного обеспечения по результатам опытной эксплуатации и ввод в промышленную эксплуатацию</w:t>
            </w:r>
          </w:p>
        </w:tc>
        <w:tc>
          <w:tcPr>
            <w:tcW w:w="1578" w:type="dxa"/>
          </w:tcPr>
          <w:p w:rsidR="001838B9" w:rsidRPr="005D46D2" w:rsidRDefault="001838B9" w:rsidP="005D46D2">
            <w:pPr>
              <w:pStyle w:val="ab"/>
              <w:spacing w:line="240" w:lineRule="auto"/>
              <w:ind w:left="0"/>
              <w:jc w:val="both"/>
              <w:rPr>
                <w:rFonts w:ascii="Times New Roman" w:hAnsi="Times New Roman"/>
                <w:sz w:val="24"/>
                <w:szCs w:val="24"/>
              </w:rPr>
            </w:pPr>
            <w:r w:rsidRPr="005D46D2">
              <w:rPr>
                <w:rFonts w:ascii="Times New Roman" w:hAnsi="Times New Roman"/>
                <w:sz w:val="24"/>
                <w:szCs w:val="24"/>
              </w:rPr>
              <w:t>200 000,00</w:t>
            </w:r>
          </w:p>
        </w:tc>
        <w:tc>
          <w:tcPr>
            <w:tcW w:w="1578" w:type="dxa"/>
          </w:tcPr>
          <w:p w:rsidR="001838B9" w:rsidRPr="005D46D2" w:rsidRDefault="001838B9" w:rsidP="005D46D2">
            <w:pPr>
              <w:pStyle w:val="ab"/>
              <w:spacing w:line="240" w:lineRule="auto"/>
              <w:ind w:left="0"/>
              <w:jc w:val="both"/>
              <w:rPr>
                <w:rFonts w:ascii="Times New Roman" w:hAnsi="Times New Roman"/>
                <w:sz w:val="24"/>
                <w:szCs w:val="24"/>
              </w:rPr>
            </w:pPr>
            <w:r w:rsidRPr="005D46D2">
              <w:rPr>
                <w:rFonts w:ascii="Times New Roman" w:hAnsi="Times New Roman"/>
                <w:sz w:val="24"/>
                <w:szCs w:val="24"/>
              </w:rPr>
              <w:t>15 дней после закрытия 2 этапа</w:t>
            </w:r>
          </w:p>
        </w:tc>
        <w:tc>
          <w:tcPr>
            <w:tcW w:w="4173" w:type="dxa"/>
          </w:tcPr>
          <w:p w:rsidR="001838B9" w:rsidRPr="005D46D2" w:rsidRDefault="001838B9" w:rsidP="005D46D2">
            <w:pPr>
              <w:pStyle w:val="ab"/>
              <w:numPr>
                <w:ilvl w:val="0"/>
                <w:numId w:val="8"/>
              </w:numPr>
              <w:spacing w:line="240" w:lineRule="auto"/>
              <w:jc w:val="both"/>
              <w:rPr>
                <w:rFonts w:ascii="Times New Roman" w:hAnsi="Times New Roman"/>
                <w:sz w:val="24"/>
                <w:szCs w:val="24"/>
              </w:rPr>
            </w:pPr>
            <w:r w:rsidRPr="005D46D2">
              <w:rPr>
                <w:rFonts w:ascii="Times New Roman" w:hAnsi="Times New Roman"/>
                <w:sz w:val="24"/>
                <w:szCs w:val="24"/>
              </w:rPr>
              <w:t>Скорректированное руководство  админист</w:t>
            </w:r>
            <w:r w:rsidR="00EE5AAF">
              <w:rPr>
                <w:rFonts w:ascii="Times New Roman" w:hAnsi="Times New Roman"/>
                <w:sz w:val="24"/>
                <w:szCs w:val="24"/>
              </w:rPr>
              <w:t>ратора</w:t>
            </w:r>
          </w:p>
          <w:p w:rsidR="001838B9" w:rsidRDefault="001838B9" w:rsidP="005D46D2">
            <w:pPr>
              <w:pStyle w:val="ab"/>
              <w:numPr>
                <w:ilvl w:val="0"/>
                <w:numId w:val="8"/>
              </w:numPr>
              <w:spacing w:line="240" w:lineRule="auto"/>
              <w:jc w:val="both"/>
              <w:rPr>
                <w:rFonts w:ascii="Times New Roman" w:hAnsi="Times New Roman"/>
                <w:sz w:val="24"/>
                <w:szCs w:val="24"/>
              </w:rPr>
            </w:pPr>
            <w:r w:rsidRPr="005D46D2">
              <w:rPr>
                <w:rFonts w:ascii="Times New Roman" w:hAnsi="Times New Roman"/>
                <w:sz w:val="24"/>
                <w:szCs w:val="24"/>
              </w:rPr>
              <w:t>Регламент гарантийного обслуживания</w:t>
            </w:r>
          </w:p>
          <w:p w:rsidR="00EE5AAF" w:rsidRPr="00EE5AAF" w:rsidRDefault="00EE5AAF" w:rsidP="00EE5AAF">
            <w:pPr>
              <w:pStyle w:val="ab"/>
              <w:numPr>
                <w:ilvl w:val="0"/>
                <w:numId w:val="8"/>
              </w:numPr>
              <w:spacing w:line="240" w:lineRule="auto"/>
              <w:rPr>
                <w:rFonts w:ascii="Times New Roman" w:hAnsi="Times New Roman"/>
                <w:sz w:val="24"/>
                <w:szCs w:val="24"/>
              </w:rPr>
            </w:pPr>
            <w:r w:rsidRPr="005D46D2">
              <w:rPr>
                <w:rFonts w:ascii="Times New Roman" w:hAnsi="Times New Roman"/>
                <w:sz w:val="24"/>
                <w:szCs w:val="24"/>
              </w:rPr>
              <w:t>Акт приемки программного обеспечения в промышленную эксплуатацию</w:t>
            </w:r>
          </w:p>
          <w:p w:rsidR="001838B9" w:rsidRPr="005D46D2" w:rsidRDefault="001838B9" w:rsidP="005D46D2">
            <w:pPr>
              <w:pStyle w:val="ab"/>
              <w:numPr>
                <w:ilvl w:val="0"/>
                <w:numId w:val="7"/>
              </w:numPr>
              <w:spacing w:line="240" w:lineRule="auto"/>
              <w:rPr>
                <w:rFonts w:ascii="Times New Roman" w:hAnsi="Times New Roman"/>
                <w:sz w:val="24"/>
                <w:szCs w:val="24"/>
              </w:rPr>
            </w:pPr>
            <w:r w:rsidRPr="005D46D2">
              <w:rPr>
                <w:rFonts w:ascii="Times New Roman" w:hAnsi="Times New Roman"/>
                <w:sz w:val="24"/>
                <w:szCs w:val="24"/>
              </w:rPr>
              <w:t>Акт сдачи-приемки выполненных работ по этапу 3.</w:t>
            </w:r>
          </w:p>
        </w:tc>
      </w:tr>
      <w:tr w:rsidR="001838B9" w:rsidRPr="005D46D2" w:rsidTr="005D46D2">
        <w:tc>
          <w:tcPr>
            <w:tcW w:w="560" w:type="dxa"/>
          </w:tcPr>
          <w:p w:rsidR="001838B9" w:rsidRPr="005D46D2" w:rsidRDefault="001838B9" w:rsidP="005D46D2">
            <w:pPr>
              <w:pStyle w:val="ab"/>
              <w:spacing w:line="240" w:lineRule="auto"/>
              <w:ind w:left="0"/>
              <w:jc w:val="both"/>
              <w:rPr>
                <w:rFonts w:ascii="Times New Roman" w:hAnsi="Times New Roman"/>
                <w:sz w:val="24"/>
                <w:szCs w:val="24"/>
              </w:rPr>
            </w:pPr>
          </w:p>
        </w:tc>
        <w:tc>
          <w:tcPr>
            <w:tcW w:w="2284" w:type="dxa"/>
          </w:tcPr>
          <w:p w:rsidR="001838B9" w:rsidRPr="005D46D2" w:rsidRDefault="001838B9" w:rsidP="005D46D2">
            <w:pPr>
              <w:pStyle w:val="ab"/>
              <w:spacing w:line="240" w:lineRule="auto"/>
              <w:ind w:left="0"/>
              <w:jc w:val="both"/>
              <w:rPr>
                <w:rFonts w:ascii="Times New Roman" w:hAnsi="Times New Roman"/>
                <w:sz w:val="24"/>
                <w:szCs w:val="24"/>
              </w:rPr>
            </w:pPr>
            <w:r w:rsidRPr="005D46D2">
              <w:rPr>
                <w:rFonts w:ascii="Times New Roman" w:hAnsi="Times New Roman"/>
                <w:sz w:val="24"/>
                <w:szCs w:val="24"/>
              </w:rPr>
              <w:t>ИТОГО</w:t>
            </w:r>
          </w:p>
        </w:tc>
        <w:tc>
          <w:tcPr>
            <w:tcW w:w="1578" w:type="dxa"/>
          </w:tcPr>
          <w:p w:rsidR="001838B9" w:rsidRPr="005D46D2" w:rsidRDefault="001838B9" w:rsidP="005D46D2">
            <w:pPr>
              <w:pStyle w:val="ab"/>
              <w:spacing w:line="240" w:lineRule="auto"/>
              <w:ind w:left="0"/>
              <w:jc w:val="both"/>
              <w:rPr>
                <w:rFonts w:ascii="Times New Roman" w:hAnsi="Times New Roman"/>
                <w:sz w:val="24"/>
                <w:szCs w:val="24"/>
              </w:rPr>
            </w:pPr>
            <w:r w:rsidRPr="005D46D2">
              <w:rPr>
                <w:rFonts w:ascii="Times New Roman" w:hAnsi="Times New Roman"/>
                <w:sz w:val="24"/>
                <w:szCs w:val="24"/>
              </w:rPr>
              <w:t>1 350 000,00</w:t>
            </w:r>
          </w:p>
        </w:tc>
        <w:tc>
          <w:tcPr>
            <w:tcW w:w="1578" w:type="dxa"/>
          </w:tcPr>
          <w:p w:rsidR="001838B9" w:rsidRPr="005D46D2" w:rsidRDefault="001838B9" w:rsidP="005D46D2">
            <w:pPr>
              <w:pStyle w:val="ab"/>
              <w:spacing w:line="240" w:lineRule="auto"/>
              <w:ind w:left="0"/>
              <w:jc w:val="both"/>
              <w:rPr>
                <w:rFonts w:ascii="Times New Roman" w:hAnsi="Times New Roman"/>
                <w:sz w:val="24"/>
                <w:szCs w:val="24"/>
              </w:rPr>
            </w:pPr>
            <w:r w:rsidRPr="005D46D2">
              <w:rPr>
                <w:rFonts w:ascii="Times New Roman" w:hAnsi="Times New Roman"/>
                <w:sz w:val="24"/>
                <w:szCs w:val="24"/>
              </w:rPr>
              <w:t>60 дней</w:t>
            </w:r>
          </w:p>
        </w:tc>
        <w:tc>
          <w:tcPr>
            <w:tcW w:w="4173" w:type="dxa"/>
          </w:tcPr>
          <w:p w:rsidR="001838B9" w:rsidRPr="005D46D2" w:rsidRDefault="001838B9" w:rsidP="005D46D2">
            <w:pPr>
              <w:pStyle w:val="ab"/>
              <w:spacing w:line="240" w:lineRule="auto"/>
              <w:ind w:left="0"/>
              <w:jc w:val="both"/>
              <w:rPr>
                <w:rFonts w:ascii="Times New Roman" w:hAnsi="Times New Roman"/>
                <w:sz w:val="24"/>
                <w:szCs w:val="24"/>
              </w:rPr>
            </w:pPr>
          </w:p>
        </w:tc>
      </w:tr>
    </w:tbl>
    <w:p w:rsidR="001838B9" w:rsidRPr="00C43903" w:rsidRDefault="001838B9" w:rsidP="0024584A">
      <w:pPr>
        <w:jc w:val="both"/>
        <w:rPr>
          <w:b/>
        </w:rPr>
      </w:pPr>
    </w:p>
    <w:p w:rsidR="0024584A" w:rsidRDefault="0024584A" w:rsidP="0024584A">
      <w:pPr>
        <w:jc w:val="both"/>
      </w:pPr>
    </w:p>
    <w:p w:rsidR="0024584A" w:rsidRPr="003927D3" w:rsidRDefault="0024584A" w:rsidP="007A053B">
      <w:pPr>
        <w:jc w:val="both"/>
      </w:pP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A9A" w:rsidRDefault="00B36A9A" w:rsidP="00CB1C18">
      <w:r>
        <w:separator/>
      </w:r>
    </w:p>
  </w:endnote>
  <w:endnote w:type="continuationSeparator" w:id="0">
    <w:p w:rsidR="00B36A9A" w:rsidRDefault="00B36A9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A9A" w:rsidRDefault="00B36A9A" w:rsidP="00CB1C18">
      <w:r>
        <w:separator/>
      </w:r>
    </w:p>
  </w:footnote>
  <w:footnote w:type="continuationSeparator" w:id="0">
    <w:p w:rsidR="00B36A9A" w:rsidRDefault="00B36A9A"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11B2F1B"/>
    <w:multiLevelType w:val="hybridMultilevel"/>
    <w:tmpl w:val="F40AA400"/>
    <w:lvl w:ilvl="0" w:tplc="FCFE5B16">
      <w:start w:val="1"/>
      <w:numFmt w:val="decimal"/>
      <w:suff w:val="space"/>
      <w:lvlText w:val="%1."/>
      <w:lvlJc w:val="left"/>
      <w:pPr>
        <w:ind w:left="0" w:firstLine="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55485B"/>
    <w:multiLevelType w:val="hybridMultilevel"/>
    <w:tmpl w:val="FD765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1B2196"/>
    <w:multiLevelType w:val="hybridMultilevel"/>
    <w:tmpl w:val="3F04D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9E1324"/>
    <w:multiLevelType w:val="hybridMultilevel"/>
    <w:tmpl w:val="67BC2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8"/>
  </w:num>
  <w:num w:numId="7">
    <w:abstractNumId w:val="5"/>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6B5E"/>
    <w:rsid w:val="00063509"/>
    <w:rsid w:val="00071C18"/>
    <w:rsid w:val="00072C73"/>
    <w:rsid w:val="000777AB"/>
    <w:rsid w:val="00082F94"/>
    <w:rsid w:val="00084180"/>
    <w:rsid w:val="00085F72"/>
    <w:rsid w:val="0008794D"/>
    <w:rsid w:val="000A60A3"/>
    <w:rsid w:val="000A799D"/>
    <w:rsid w:val="000C5C9F"/>
    <w:rsid w:val="000C5FD9"/>
    <w:rsid w:val="000D3430"/>
    <w:rsid w:val="000E0ECB"/>
    <w:rsid w:val="000E77C3"/>
    <w:rsid w:val="001030A3"/>
    <w:rsid w:val="00107B80"/>
    <w:rsid w:val="00117473"/>
    <w:rsid w:val="001212C5"/>
    <w:rsid w:val="00121857"/>
    <w:rsid w:val="00126BBB"/>
    <w:rsid w:val="00132AFA"/>
    <w:rsid w:val="00133CFF"/>
    <w:rsid w:val="0014455A"/>
    <w:rsid w:val="001475DB"/>
    <w:rsid w:val="00151B42"/>
    <w:rsid w:val="00152424"/>
    <w:rsid w:val="00177D91"/>
    <w:rsid w:val="001838B9"/>
    <w:rsid w:val="001B0FDE"/>
    <w:rsid w:val="001C01D6"/>
    <w:rsid w:val="001C05F5"/>
    <w:rsid w:val="001D2089"/>
    <w:rsid w:val="001D3EAA"/>
    <w:rsid w:val="001F0B3B"/>
    <w:rsid w:val="001F3370"/>
    <w:rsid w:val="001F4F2E"/>
    <w:rsid w:val="001F52B9"/>
    <w:rsid w:val="00204B07"/>
    <w:rsid w:val="0020709B"/>
    <w:rsid w:val="00223C08"/>
    <w:rsid w:val="00223EC3"/>
    <w:rsid w:val="002350DE"/>
    <w:rsid w:val="00243BB2"/>
    <w:rsid w:val="00245141"/>
    <w:rsid w:val="002451A7"/>
    <w:rsid w:val="0024584A"/>
    <w:rsid w:val="0026332C"/>
    <w:rsid w:val="002636BF"/>
    <w:rsid w:val="0028492E"/>
    <w:rsid w:val="00296517"/>
    <w:rsid w:val="002A7D8B"/>
    <w:rsid w:val="002B28E3"/>
    <w:rsid w:val="002B5659"/>
    <w:rsid w:val="002C536B"/>
    <w:rsid w:val="002E11EB"/>
    <w:rsid w:val="002E21F4"/>
    <w:rsid w:val="002E2B59"/>
    <w:rsid w:val="002E5A39"/>
    <w:rsid w:val="002F00CA"/>
    <w:rsid w:val="002F42E3"/>
    <w:rsid w:val="00302FAA"/>
    <w:rsid w:val="003038BF"/>
    <w:rsid w:val="0032153B"/>
    <w:rsid w:val="003248F4"/>
    <w:rsid w:val="00326F9B"/>
    <w:rsid w:val="003375DB"/>
    <w:rsid w:val="003516CC"/>
    <w:rsid w:val="003927D3"/>
    <w:rsid w:val="00397292"/>
    <w:rsid w:val="003B7834"/>
    <w:rsid w:val="003C7469"/>
    <w:rsid w:val="003D0AA6"/>
    <w:rsid w:val="003D1E43"/>
    <w:rsid w:val="003D239A"/>
    <w:rsid w:val="003E13B8"/>
    <w:rsid w:val="003E1D49"/>
    <w:rsid w:val="003E56FD"/>
    <w:rsid w:val="003F4415"/>
    <w:rsid w:val="0041301F"/>
    <w:rsid w:val="004148A3"/>
    <w:rsid w:val="00427B60"/>
    <w:rsid w:val="0044002D"/>
    <w:rsid w:val="00482157"/>
    <w:rsid w:val="00483D8D"/>
    <w:rsid w:val="0049189D"/>
    <w:rsid w:val="00497234"/>
    <w:rsid w:val="004B3332"/>
    <w:rsid w:val="004B7489"/>
    <w:rsid w:val="004C3E28"/>
    <w:rsid w:val="004C4335"/>
    <w:rsid w:val="004C63EA"/>
    <w:rsid w:val="004D4FB7"/>
    <w:rsid w:val="004E09D6"/>
    <w:rsid w:val="004E7660"/>
    <w:rsid w:val="00500D9B"/>
    <w:rsid w:val="00510572"/>
    <w:rsid w:val="00513F6C"/>
    <w:rsid w:val="00526967"/>
    <w:rsid w:val="00531303"/>
    <w:rsid w:val="00542DB9"/>
    <w:rsid w:val="00564686"/>
    <w:rsid w:val="00565E96"/>
    <w:rsid w:val="00583AE4"/>
    <w:rsid w:val="005941EF"/>
    <w:rsid w:val="00595193"/>
    <w:rsid w:val="005A5BE6"/>
    <w:rsid w:val="005A69AB"/>
    <w:rsid w:val="005C612E"/>
    <w:rsid w:val="005C6574"/>
    <w:rsid w:val="005C680F"/>
    <w:rsid w:val="005D2E07"/>
    <w:rsid w:val="005D46D2"/>
    <w:rsid w:val="005E0384"/>
    <w:rsid w:val="005F5F54"/>
    <w:rsid w:val="006072F9"/>
    <w:rsid w:val="006117F1"/>
    <w:rsid w:val="0061195A"/>
    <w:rsid w:val="00621590"/>
    <w:rsid w:val="006323ED"/>
    <w:rsid w:val="006350D5"/>
    <w:rsid w:val="00637523"/>
    <w:rsid w:val="006527AA"/>
    <w:rsid w:val="0065729B"/>
    <w:rsid w:val="0065731F"/>
    <w:rsid w:val="0066021C"/>
    <w:rsid w:val="00661273"/>
    <w:rsid w:val="00662203"/>
    <w:rsid w:val="006713BF"/>
    <w:rsid w:val="00684FEC"/>
    <w:rsid w:val="006B2E2B"/>
    <w:rsid w:val="006B32C7"/>
    <w:rsid w:val="006B33F0"/>
    <w:rsid w:val="006C610D"/>
    <w:rsid w:val="006E0FA2"/>
    <w:rsid w:val="007022A0"/>
    <w:rsid w:val="00706492"/>
    <w:rsid w:val="0071472A"/>
    <w:rsid w:val="007203E7"/>
    <w:rsid w:val="00720B00"/>
    <w:rsid w:val="00723BE5"/>
    <w:rsid w:val="00724EED"/>
    <w:rsid w:val="007442D3"/>
    <w:rsid w:val="0075014E"/>
    <w:rsid w:val="00752FA3"/>
    <w:rsid w:val="007670C2"/>
    <w:rsid w:val="00795795"/>
    <w:rsid w:val="007A053B"/>
    <w:rsid w:val="007B4A2D"/>
    <w:rsid w:val="007C1F98"/>
    <w:rsid w:val="007D6F31"/>
    <w:rsid w:val="007F5506"/>
    <w:rsid w:val="008128DB"/>
    <w:rsid w:val="00824610"/>
    <w:rsid w:val="008277BA"/>
    <w:rsid w:val="00831584"/>
    <w:rsid w:val="008432ED"/>
    <w:rsid w:val="0084419F"/>
    <w:rsid w:val="00852B23"/>
    <w:rsid w:val="008547B8"/>
    <w:rsid w:val="0086483E"/>
    <w:rsid w:val="0088075E"/>
    <w:rsid w:val="00884629"/>
    <w:rsid w:val="008A767E"/>
    <w:rsid w:val="008B29D7"/>
    <w:rsid w:val="008D074D"/>
    <w:rsid w:val="008E0CEC"/>
    <w:rsid w:val="008E1656"/>
    <w:rsid w:val="008F0A98"/>
    <w:rsid w:val="00910BE4"/>
    <w:rsid w:val="00915DBD"/>
    <w:rsid w:val="0092627C"/>
    <w:rsid w:val="0093062F"/>
    <w:rsid w:val="0093440D"/>
    <w:rsid w:val="009662B7"/>
    <w:rsid w:val="00966BF5"/>
    <w:rsid w:val="00970B55"/>
    <w:rsid w:val="00994F52"/>
    <w:rsid w:val="009B6FDE"/>
    <w:rsid w:val="009C16C0"/>
    <w:rsid w:val="009C4A5D"/>
    <w:rsid w:val="009D183B"/>
    <w:rsid w:val="009D7D4D"/>
    <w:rsid w:val="009F2FCC"/>
    <w:rsid w:val="009F36EA"/>
    <w:rsid w:val="009F374A"/>
    <w:rsid w:val="009F3AE5"/>
    <w:rsid w:val="00A017DE"/>
    <w:rsid w:val="00A038AE"/>
    <w:rsid w:val="00A042DE"/>
    <w:rsid w:val="00A1512F"/>
    <w:rsid w:val="00A20EC2"/>
    <w:rsid w:val="00A232F1"/>
    <w:rsid w:val="00A249BA"/>
    <w:rsid w:val="00A31BA8"/>
    <w:rsid w:val="00A335BC"/>
    <w:rsid w:val="00A35895"/>
    <w:rsid w:val="00A5340F"/>
    <w:rsid w:val="00A67341"/>
    <w:rsid w:val="00A716A3"/>
    <w:rsid w:val="00A7517C"/>
    <w:rsid w:val="00A767DE"/>
    <w:rsid w:val="00A91ABA"/>
    <w:rsid w:val="00A94345"/>
    <w:rsid w:val="00AA34B6"/>
    <w:rsid w:val="00AA36AF"/>
    <w:rsid w:val="00AA79FA"/>
    <w:rsid w:val="00AA7EFD"/>
    <w:rsid w:val="00AC57C2"/>
    <w:rsid w:val="00AC799F"/>
    <w:rsid w:val="00AD69FC"/>
    <w:rsid w:val="00AE5D96"/>
    <w:rsid w:val="00AF3E8A"/>
    <w:rsid w:val="00AF4708"/>
    <w:rsid w:val="00B20DF0"/>
    <w:rsid w:val="00B21959"/>
    <w:rsid w:val="00B3207D"/>
    <w:rsid w:val="00B36A9A"/>
    <w:rsid w:val="00B45D6B"/>
    <w:rsid w:val="00B72DB9"/>
    <w:rsid w:val="00B81AC6"/>
    <w:rsid w:val="00B8653B"/>
    <w:rsid w:val="00BA79C3"/>
    <w:rsid w:val="00BB3A9D"/>
    <w:rsid w:val="00BB7300"/>
    <w:rsid w:val="00BC5467"/>
    <w:rsid w:val="00BD06F5"/>
    <w:rsid w:val="00BD3223"/>
    <w:rsid w:val="00BD6739"/>
    <w:rsid w:val="00BE4FBE"/>
    <w:rsid w:val="00BE7F31"/>
    <w:rsid w:val="00BF2940"/>
    <w:rsid w:val="00C0686E"/>
    <w:rsid w:val="00C06D04"/>
    <w:rsid w:val="00C2562C"/>
    <w:rsid w:val="00C40A83"/>
    <w:rsid w:val="00C623E6"/>
    <w:rsid w:val="00C710BB"/>
    <w:rsid w:val="00C73DDA"/>
    <w:rsid w:val="00C86D10"/>
    <w:rsid w:val="00CA6EF8"/>
    <w:rsid w:val="00CB0A9A"/>
    <w:rsid w:val="00CB1C18"/>
    <w:rsid w:val="00CC5E94"/>
    <w:rsid w:val="00CD5577"/>
    <w:rsid w:val="00CD7A9A"/>
    <w:rsid w:val="00CE09CD"/>
    <w:rsid w:val="00D0636A"/>
    <w:rsid w:val="00D122BE"/>
    <w:rsid w:val="00D21C01"/>
    <w:rsid w:val="00D27E6A"/>
    <w:rsid w:val="00D32B13"/>
    <w:rsid w:val="00D32F01"/>
    <w:rsid w:val="00D35556"/>
    <w:rsid w:val="00D40099"/>
    <w:rsid w:val="00D51AF4"/>
    <w:rsid w:val="00D54024"/>
    <w:rsid w:val="00D627BD"/>
    <w:rsid w:val="00D70D67"/>
    <w:rsid w:val="00D816FE"/>
    <w:rsid w:val="00D84F35"/>
    <w:rsid w:val="00D9562C"/>
    <w:rsid w:val="00D979C6"/>
    <w:rsid w:val="00DA49E5"/>
    <w:rsid w:val="00DB11D3"/>
    <w:rsid w:val="00DE5F8C"/>
    <w:rsid w:val="00DF7851"/>
    <w:rsid w:val="00E16968"/>
    <w:rsid w:val="00E22CF6"/>
    <w:rsid w:val="00E26F81"/>
    <w:rsid w:val="00E35CDC"/>
    <w:rsid w:val="00E5065E"/>
    <w:rsid w:val="00E50CBA"/>
    <w:rsid w:val="00E53C38"/>
    <w:rsid w:val="00E7093B"/>
    <w:rsid w:val="00E73E7A"/>
    <w:rsid w:val="00E80EAC"/>
    <w:rsid w:val="00E87D4E"/>
    <w:rsid w:val="00E905FB"/>
    <w:rsid w:val="00E957DE"/>
    <w:rsid w:val="00EA5DCF"/>
    <w:rsid w:val="00EB5105"/>
    <w:rsid w:val="00EC1BB7"/>
    <w:rsid w:val="00ED1117"/>
    <w:rsid w:val="00ED1B2D"/>
    <w:rsid w:val="00ED60FD"/>
    <w:rsid w:val="00EE5AAF"/>
    <w:rsid w:val="00F02C27"/>
    <w:rsid w:val="00F039F3"/>
    <w:rsid w:val="00F04EF5"/>
    <w:rsid w:val="00F12F5B"/>
    <w:rsid w:val="00F22447"/>
    <w:rsid w:val="00F25640"/>
    <w:rsid w:val="00F25682"/>
    <w:rsid w:val="00F33116"/>
    <w:rsid w:val="00F3417A"/>
    <w:rsid w:val="00F43018"/>
    <w:rsid w:val="00F532A7"/>
    <w:rsid w:val="00F63A10"/>
    <w:rsid w:val="00F6476F"/>
    <w:rsid w:val="00F72DD1"/>
    <w:rsid w:val="00F749D9"/>
    <w:rsid w:val="00F752D3"/>
    <w:rsid w:val="00F776E4"/>
    <w:rsid w:val="00F91597"/>
    <w:rsid w:val="00F94074"/>
    <w:rsid w:val="00F94CEE"/>
    <w:rsid w:val="00F9545A"/>
    <w:rsid w:val="00FA2219"/>
    <w:rsid w:val="00FA2D3E"/>
    <w:rsid w:val="00FD7121"/>
    <w:rsid w:val="00FE3EB4"/>
    <w:rsid w:val="00FE423B"/>
    <w:rsid w:val="00FE5E32"/>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link w:val="ac"/>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d">
    <w:name w:val="Table Grid"/>
    <w:basedOn w:val="a1"/>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basedOn w:val="a0"/>
    <w:link w:val="ab"/>
    <w:uiPriority w:val="34"/>
    <w:rsid w:val="007670C2"/>
    <w:rPr>
      <w:rFonts w:eastAsiaTheme="minorHAnsi"/>
    </w:rPr>
  </w:style>
  <w:style w:type="character" w:styleId="ae">
    <w:name w:val="annotation reference"/>
    <w:basedOn w:val="a0"/>
    <w:uiPriority w:val="99"/>
    <w:semiHidden/>
    <w:unhideWhenUsed/>
    <w:rsid w:val="00DA49E5"/>
    <w:rPr>
      <w:sz w:val="16"/>
      <w:szCs w:val="16"/>
    </w:rPr>
  </w:style>
  <w:style w:type="paragraph" w:styleId="af">
    <w:name w:val="annotation text"/>
    <w:basedOn w:val="a"/>
    <w:link w:val="af0"/>
    <w:uiPriority w:val="99"/>
    <w:semiHidden/>
    <w:unhideWhenUsed/>
    <w:rsid w:val="00DA49E5"/>
    <w:rPr>
      <w:sz w:val="20"/>
    </w:rPr>
  </w:style>
  <w:style w:type="character" w:customStyle="1" w:styleId="af0">
    <w:name w:val="Текст примечания Знак"/>
    <w:basedOn w:val="a0"/>
    <w:link w:val="af"/>
    <w:uiPriority w:val="99"/>
    <w:semiHidden/>
    <w:rsid w:val="00DA49E5"/>
    <w:rPr>
      <w:rFonts w:ascii="Times New Roman" w:hAnsi="Times New Roman" w:cs="Times New Roman"/>
      <w:snapToGrid w:val="0"/>
      <w:sz w:val="20"/>
      <w:szCs w:val="20"/>
      <w:lang w:eastAsia="ru-RU"/>
    </w:rPr>
  </w:style>
  <w:style w:type="paragraph" w:styleId="af1">
    <w:name w:val="annotation subject"/>
    <w:basedOn w:val="af"/>
    <w:next w:val="af"/>
    <w:link w:val="af2"/>
    <w:uiPriority w:val="99"/>
    <w:semiHidden/>
    <w:unhideWhenUsed/>
    <w:rsid w:val="00DA49E5"/>
    <w:rPr>
      <w:b/>
      <w:bCs/>
    </w:rPr>
  </w:style>
  <w:style w:type="character" w:customStyle="1" w:styleId="af2">
    <w:name w:val="Тема примечания Знак"/>
    <w:basedOn w:val="af0"/>
    <w:link w:val="af1"/>
    <w:uiPriority w:val="99"/>
    <w:semiHidden/>
    <w:rsid w:val="00DA49E5"/>
    <w:rPr>
      <w:rFonts w:ascii="Times New Roman" w:hAnsi="Times New Roman" w:cs="Times New Roman"/>
      <w:b/>
      <w:bCs/>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link w:val="ac"/>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d">
    <w:name w:val="Table Grid"/>
    <w:basedOn w:val="a1"/>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basedOn w:val="a0"/>
    <w:link w:val="ab"/>
    <w:uiPriority w:val="34"/>
    <w:rsid w:val="007670C2"/>
    <w:rPr>
      <w:rFonts w:eastAsiaTheme="minorHAnsi"/>
    </w:rPr>
  </w:style>
  <w:style w:type="character" w:styleId="ae">
    <w:name w:val="annotation reference"/>
    <w:basedOn w:val="a0"/>
    <w:uiPriority w:val="99"/>
    <w:semiHidden/>
    <w:unhideWhenUsed/>
    <w:rsid w:val="00DA49E5"/>
    <w:rPr>
      <w:sz w:val="16"/>
      <w:szCs w:val="16"/>
    </w:rPr>
  </w:style>
  <w:style w:type="paragraph" w:styleId="af">
    <w:name w:val="annotation text"/>
    <w:basedOn w:val="a"/>
    <w:link w:val="af0"/>
    <w:uiPriority w:val="99"/>
    <w:semiHidden/>
    <w:unhideWhenUsed/>
    <w:rsid w:val="00DA49E5"/>
    <w:rPr>
      <w:sz w:val="20"/>
    </w:rPr>
  </w:style>
  <w:style w:type="character" w:customStyle="1" w:styleId="af0">
    <w:name w:val="Текст примечания Знак"/>
    <w:basedOn w:val="a0"/>
    <w:link w:val="af"/>
    <w:uiPriority w:val="99"/>
    <w:semiHidden/>
    <w:rsid w:val="00DA49E5"/>
    <w:rPr>
      <w:rFonts w:ascii="Times New Roman" w:hAnsi="Times New Roman" w:cs="Times New Roman"/>
      <w:snapToGrid w:val="0"/>
      <w:sz w:val="20"/>
      <w:szCs w:val="20"/>
      <w:lang w:eastAsia="ru-RU"/>
    </w:rPr>
  </w:style>
  <w:style w:type="paragraph" w:styleId="af1">
    <w:name w:val="annotation subject"/>
    <w:basedOn w:val="af"/>
    <w:next w:val="af"/>
    <w:link w:val="af2"/>
    <w:uiPriority w:val="99"/>
    <w:semiHidden/>
    <w:unhideWhenUsed/>
    <w:rsid w:val="00DA49E5"/>
    <w:rPr>
      <w:b/>
      <w:bCs/>
    </w:rPr>
  </w:style>
  <w:style w:type="character" w:customStyle="1" w:styleId="af2">
    <w:name w:val="Тема примечания Знак"/>
    <w:basedOn w:val="af0"/>
    <w:link w:val="af1"/>
    <w:uiPriority w:val="99"/>
    <w:semiHidden/>
    <w:rsid w:val="00DA49E5"/>
    <w:rPr>
      <w:rFonts w:ascii="Times New Roman" w:hAnsi="Times New Roman" w:cs="Times New Roman"/>
      <w:b/>
      <w:bCs/>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244">
      <w:bodyDiv w:val="1"/>
      <w:marLeft w:val="0"/>
      <w:marRight w:val="0"/>
      <w:marTop w:val="0"/>
      <w:marBottom w:val="0"/>
      <w:divBdr>
        <w:top w:val="none" w:sz="0" w:space="0" w:color="auto"/>
        <w:left w:val="none" w:sz="0" w:space="0" w:color="auto"/>
        <w:bottom w:val="none" w:sz="0" w:space="0" w:color="auto"/>
        <w:right w:val="none" w:sz="0" w:space="0" w:color="auto"/>
      </w:divBdr>
    </w:div>
    <w:div w:id="441002764">
      <w:bodyDiv w:val="1"/>
      <w:marLeft w:val="0"/>
      <w:marRight w:val="0"/>
      <w:marTop w:val="0"/>
      <w:marBottom w:val="0"/>
      <w:divBdr>
        <w:top w:val="none" w:sz="0" w:space="0" w:color="auto"/>
        <w:left w:val="none" w:sz="0" w:space="0" w:color="auto"/>
        <w:bottom w:val="none" w:sz="0" w:space="0" w:color="auto"/>
        <w:right w:val="none" w:sz="0" w:space="0" w:color="auto"/>
      </w:divBdr>
    </w:div>
    <w:div w:id="106961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it@cit.org.mp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HudiakovaIAV@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21F9181-A199-4D55-B335-911D3DF93F0C"/>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B79ED3-A252-4529-909A-3EC5FAA9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906</Words>
  <Characters>5167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ЕП Обоснование закупки+Извещение.docx</vt:lpstr>
    </vt:vector>
  </TitlesOfParts>
  <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закупки+Извещение.docx</dc:title>
  <dc:creator>Курицын А.Е.</dc:creator>
  <cp:lastModifiedBy>Бельчич Сергей Игоревич</cp:lastModifiedBy>
  <cp:revision>7</cp:revision>
  <cp:lastPrinted>2015-11-30T06:19:00Z</cp:lastPrinted>
  <dcterms:created xsi:type="dcterms:W3CDTF">2015-11-27T12:47:00Z</dcterms:created>
  <dcterms:modified xsi:type="dcterms:W3CDTF">2015-12-01T12:39:00Z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