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C97E93" w:rsidRPr="0083769E" w:rsidTr="008A4C39">
        <w:trPr>
          <w:trHeight w:val="2348"/>
        </w:trPr>
        <w:tc>
          <w:tcPr>
            <w:tcW w:w="4962" w:type="dxa"/>
          </w:tcPr>
          <w:p w:rsidR="00C97E93" w:rsidRPr="0083769E" w:rsidRDefault="00C97E93" w:rsidP="008A4C39">
            <w:pPr>
              <w:jc w:val="center"/>
              <w:rPr>
                <w:rFonts w:ascii="EuropeExt08" w:hAnsi="EuropeExt08"/>
                <w:szCs w:val="28"/>
              </w:rPr>
            </w:pPr>
          </w:p>
          <w:p w:rsidR="00C97E93" w:rsidRDefault="00C97E93" w:rsidP="008A4C39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</w:p>
          <w:p w:rsidR="00C97E93" w:rsidRPr="0083769E" w:rsidRDefault="00C97E93" w:rsidP="008A4C39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  <w:r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.75pt;width:163.5pt;height:67.65pt;z-index:251660288;mso-position-horizontal-relative:text;mso-position-vertical-relative:text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C97E93" w:rsidRPr="0083769E" w:rsidRDefault="00C97E93" w:rsidP="008A4C39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C97E93" w:rsidRDefault="00C97E93" w:rsidP="008A4C39">
            <w:pPr>
              <w:spacing w:line="200" w:lineRule="exact"/>
              <w:rPr>
                <w:rFonts w:ascii="EuropeExt08" w:hAnsi="EuropeExt08"/>
              </w:rPr>
            </w:pPr>
          </w:p>
          <w:p w:rsidR="00C97E93" w:rsidRPr="006F7A5C" w:rsidRDefault="00C97E93" w:rsidP="008A4C39">
            <w:pPr>
              <w:spacing w:line="200" w:lineRule="exact"/>
              <w:rPr>
                <w:rFonts w:ascii="EuropeExt08" w:hAnsi="EuropeExt08"/>
              </w:rPr>
            </w:pPr>
          </w:p>
          <w:p w:rsidR="00C97E93" w:rsidRPr="001F4937" w:rsidRDefault="00C97E93" w:rsidP="008A4C39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C97E93" w:rsidRPr="001F4937" w:rsidRDefault="00C97E93" w:rsidP="008A4C39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C97E93" w:rsidRPr="001F4937" w:rsidRDefault="00C97E93" w:rsidP="008A4C39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C97E93" w:rsidRPr="001F4937" w:rsidRDefault="00C97E93" w:rsidP="008A4C39">
            <w:pPr>
              <w:spacing w:line="200" w:lineRule="exact"/>
              <w:jc w:val="center"/>
              <w:rPr>
                <w:spacing w:val="-10"/>
              </w:rPr>
            </w:pPr>
          </w:p>
          <w:p w:rsidR="00C97E93" w:rsidRPr="001F4937" w:rsidRDefault="00C97E93" w:rsidP="008A4C39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C97E93" w:rsidRPr="001F4937" w:rsidRDefault="00C97E93" w:rsidP="008A4C3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C97E93" w:rsidRPr="001F4937" w:rsidRDefault="00C97E93" w:rsidP="008A4C39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C97E93" w:rsidRPr="006F7A5C" w:rsidRDefault="00C97E93" w:rsidP="008A4C39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C97E93" w:rsidRDefault="00C97E93" w:rsidP="00C97E93">
      <w:pPr>
        <w:jc w:val="center"/>
        <w:rPr>
          <w:b/>
          <w:sz w:val="28"/>
          <w:szCs w:val="28"/>
        </w:rPr>
      </w:pPr>
    </w:p>
    <w:p w:rsidR="00C97E93" w:rsidRDefault="00C97E93" w:rsidP="00C97E93">
      <w:pPr>
        <w:jc w:val="center"/>
        <w:rPr>
          <w:b/>
          <w:sz w:val="28"/>
          <w:szCs w:val="28"/>
        </w:rPr>
      </w:pPr>
      <w:r w:rsidRPr="00983F8F">
        <w:rPr>
          <w:b/>
          <w:sz w:val="28"/>
          <w:szCs w:val="28"/>
        </w:rPr>
        <w:t>ПРОТОКОЛ</w:t>
      </w:r>
    </w:p>
    <w:p w:rsidR="00C97E93" w:rsidRPr="00983F8F" w:rsidRDefault="00C97E93" w:rsidP="00C97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КОНКУРСНОЙ КОМИССИИ</w:t>
      </w:r>
    </w:p>
    <w:p w:rsidR="00C97E93" w:rsidRPr="00983F8F" w:rsidRDefault="00C97E93" w:rsidP="00C97E93">
      <w:pPr>
        <w:jc w:val="center"/>
        <w:rPr>
          <w:b/>
          <w:sz w:val="28"/>
          <w:szCs w:val="28"/>
        </w:rPr>
      </w:pPr>
      <w:r w:rsidRPr="00983F8F">
        <w:rPr>
          <w:b/>
          <w:sz w:val="28"/>
          <w:szCs w:val="28"/>
        </w:rPr>
        <w:t>ФИЛИАЛА ОАО «ТРАНСКОНТЕЙНЕР»</w:t>
      </w:r>
    </w:p>
    <w:p w:rsidR="00C97E93" w:rsidRPr="00983F8F" w:rsidRDefault="00C97E93" w:rsidP="00C97E93">
      <w:pPr>
        <w:jc w:val="center"/>
        <w:rPr>
          <w:b/>
          <w:sz w:val="28"/>
          <w:szCs w:val="28"/>
        </w:rPr>
      </w:pPr>
      <w:r w:rsidRPr="00983F8F">
        <w:rPr>
          <w:b/>
          <w:sz w:val="28"/>
          <w:szCs w:val="28"/>
        </w:rPr>
        <w:t>НА ЗАБАЙКАЛЬСКОЙ ЖЕЛЕЗНОЙ ДОРОГЕ</w:t>
      </w:r>
    </w:p>
    <w:p w:rsidR="00C97E93" w:rsidRDefault="00C97E93" w:rsidP="00C97E93">
      <w:pPr>
        <w:rPr>
          <w:sz w:val="28"/>
          <w:szCs w:val="28"/>
        </w:rPr>
      </w:pPr>
    </w:p>
    <w:p w:rsidR="00C97E93" w:rsidRDefault="00C97E93" w:rsidP="00C97E93">
      <w:pPr>
        <w:rPr>
          <w:sz w:val="28"/>
          <w:szCs w:val="28"/>
        </w:rPr>
      </w:pPr>
    </w:p>
    <w:p w:rsidR="00C97E93" w:rsidRDefault="00C97E93" w:rsidP="00C97E93">
      <w:pPr>
        <w:rPr>
          <w:sz w:val="28"/>
          <w:szCs w:val="28"/>
        </w:rPr>
      </w:pPr>
      <w:r w:rsidRPr="00983F8F">
        <w:rPr>
          <w:sz w:val="28"/>
          <w:szCs w:val="28"/>
        </w:rPr>
        <w:t xml:space="preserve"> </w:t>
      </w:r>
      <w:r w:rsidRPr="00DF35D5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04 </w:t>
      </w:r>
      <w:r w:rsidRPr="00DF35D5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июля  </w:t>
      </w:r>
      <w:r w:rsidRPr="00DF35D5">
        <w:rPr>
          <w:sz w:val="28"/>
          <w:szCs w:val="28"/>
          <w:u w:val="single"/>
        </w:rPr>
        <w:t>2013 года</w:t>
      </w:r>
      <w:r w:rsidRPr="00983F8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Pr="00983F8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 w:rsidRPr="00983F8F">
        <w:rPr>
          <w:sz w:val="28"/>
          <w:szCs w:val="28"/>
        </w:rPr>
        <w:t xml:space="preserve">  </w:t>
      </w:r>
      <w:r w:rsidRPr="00DF35D5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3</w:t>
      </w:r>
    </w:p>
    <w:p w:rsidR="00C97E93" w:rsidRDefault="00C97E93" w:rsidP="00C97E93">
      <w:pPr>
        <w:rPr>
          <w:sz w:val="28"/>
          <w:szCs w:val="28"/>
        </w:rPr>
      </w:pPr>
      <w:r w:rsidRPr="00983F8F">
        <w:rPr>
          <w:sz w:val="28"/>
          <w:szCs w:val="28"/>
        </w:rPr>
        <w:t xml:space="preserve"> </w:t>
      </w:r>
    </w:p>
    <w:p w:rsidR="00C97E93" w:rsidRDefault="00C97E93" w:rsidP="00C97E93">
      <w:pPr>
        <w:rPr>
          <w:sz w:val="28"/>
          <w:szCs w:val="28"/>
        </w:rPr>
      </w:pPr>
    </w:p>
    <w:p w:rsidR="00C97E93" w:rsidRPr="00DF35D5" w:rsidRDefault="00C97E93" w:rsidP="00C97E93">
      <w:pPr>
        <w:rPr>
          <w:i/>
          <w:sz w:val="28"/>
          <w:szCs w:val="28"/>
          <w:u w:val="single"/>
        </w:rPr>
      </w:pPr>
      <w:r w:rsidRPr="00DF35D5">
        <w:rPr>
          <w:i/>
          <w:sz w:val="28"/>
          <w:szCs w:val="28"/>
          <w:u w:val="single"/>
        </w:rPr>
        <w:t xml:space="preserve">  Присутствовали:     </w:t>
      </w:r>
    </w:p>
    <w:p w:rsidR="00C97E93" w:rsidRDefault="00C97E93" w:rsidP="00C97E93">
      <w:pPr>
        <w:rPr>
          <w:sz w:val="28"/>
          <w:szCs w:val="28"/>
        </w:rPr>
      </w:pPr>
    </w:p>
    <w:p w:rsidR="00C97E93" w:rsidRDefault="00C97E93" w:rsidP="00C97E93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 комиссии  </w:t>
      </w:r>
    </w:p>
    <w:p w:rsidR="00C97E93" w:rsidRDefault="00C97E93" w:rsidP="00C97E93">
      <w:pPr>
        <w:rPr>
          <w:sz w:val="28"/>
          <w:szCs w:val="28"/>
        </w:rPr>
      </w:pPr>
      <w:r>
        <w:rPr>
          <w:sz w:val="28"/>
          <w:szCs w:val="28"/>
        </w:rPr>
        <w:t>Директор филиала                                                                                Члены комиссии</w:t>
      </w:r>
      <w:r w:rsidRPr="000F75F4">
        <w:rPr>
          <w:sz w:val="28"/>
          <w:szCs w:val="28"/>
        </w:rPr>
        <w:t>:</w:t>
      </w:r>
    </w:p>
    <w:p w:rsidR="00C97E93" w:rsidRDefault="00C97E93" w:rsidP="00C97E93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</w:t>
      </w:r>
    </w:p>
    <w:p w:rsidR="00C97E93" w:rsidRDefault="00C97E93" w:rsidP="00C97E93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Pr="00983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</w:p>
    <w:p w:rsidR="00C97E93" w:rsidRDefault="00C97E93" w:rsidP="00C97E93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филиала</w:t>
      </w:r>
    </w:p>
    <w:p w:rsidR="00C97E93" w:rsidRDefault="00C97E93" w:rsidP="00C97E93">
      <w:pPr>
        <w:rPr>
          <w:sz w:val="28"/>
          <w:szCs w:val="28"/>
        </w:rPr>
      </w:pPr>
      <w:r>
        <w:rPr>
          <w:sz w:val="28"/>
          <w:szCs w:val="28"/>
        </w:rPr>
        <w:t xml:space="preserve">по безопасности                                                                         </w:t>
      </w:r>
    </w:p>
    <w:p w:rsidR="00C97E93" w:rsidRDefault="00C97E93" w:rsidP="00C97E9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83F8F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сектора по </w:t>
      </w:r>
      <w:proofErr w:type="spellStart"/>
      <w:r>
        <w:rPr>
          <w:sz w:val="28"/>
          <w:szCs w:val="28"/>
        </w:rPr>
        <w:t>актово</w:t>
      </w:r>
      <w:proofErr w:type="spellEnd"/>
      <w:r>
        <w:rPr>
          <w:sz w:val="28"/>
          <w:szCs w:val="28"/>
        </w:rPr>
        <w:t>-</w:t>
      </w:r>
    </w:p>
    <w:p w:rsidR="00C97E93" w:rsidRDefault="00C97E93" w:rsidP="00C97E93">
      <w:pPr>
        <w:rPr>
          <w:sz w:val="28"/>
          <w:szCs w:val="28"/>
        </w:rPr>
      </w:pPr>
      <w:r>
        <w:rPr>
          <w:sz w:val="28"/>
          <w:szCs w:val="28"/>
        </w:rPr>
        <w:t xml:space="preserve">претензионной работе                                                               </w:t>
      </w:r>
    </w:p>
    <w:p w:rsidR="00C97E93" w:rsidRDefault="00C97E93" w:rsidP="00C97E93">
      <w:pPr>
        <w:rPr>
          <w:sz w:val="28"/>
          <w:szCs w:val="28"/>
        </w:rPr>
      </w:pPr>
      <w:r w:rsidRPr="00983F8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сектора правовой и</w:t>
      </w:r>
    </w:p>
    <w:p w:rsidR="00C97E93" w:rsidRDefault="00C97E93" w:rsidP="00C97E93">
      <w:pPr>
        <w:rPr>
          <w:sz w:val="28"/>
          <w:szCs w:val="28"/>
        </w:rPr>
      </w:pPr>
      <w:r>
        <w:rPr>
          <w:sz w:val="28"/>
          <w:szCs w:val="28"/>
        </w:rPr>
        <w:t xml:space="preserve">договорной работы           </w:t>
      </w:r>
      <w:r w:rsidRPr="00983F8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</w:t>
      </w:r>
    </w:p>
    <w:p w:rsidR="00C97E93" w:rsidRDefault="00C97E93" w:rsidP="00C97E9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планово-экономического сектора                         </w:t>
      </w:r>
    </w:p>
    <w:p w:rsidR="00C97E93" w:rsidRDefault="00C97E93" w:rsidP="00C97E93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 отдела организации контейнерных</w:t>
      </w:r>
    </w:p>
    <w:p w:rsidR="00C97E93" w:rsidRPr="00C97E93" w:rsidRDefault="00C97E93" w:rsidP="00C97E9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перевозок и маркетинга                                                             </w:t>
      </w:r>
    </w:p>
    <w:p w:rsidR="00C97E93" w:rsidRPr="00983F8F" w:rsidRDefault="00C97E93" w:rsidP="00C97E9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информационных технологий                 </w:t>
      </w:r>
    </w:p>
    <w:p w:rsidR="00C97E93" w:rsidRDefault="00C97E93" w:rsidP="00C97E93">
      <w:pPr>
        <w:rPr>
          <w:sz w:val="28"/>
          <w:szCs w:val="28"/>
        </w:rPr>
      </w:pPr>
      <w:r>
        <w:rPr>
          <w:sz w:val="28"/>
          <w:szCs w:val="28"/>
        </w:rPr>
        <w:t xml:space="preserve">Ведущий инженер технического отдела                                  </w:t>
      </w:r>
    </w:p>
    <w:p w:rsidR="00C97E93" w:rsidRDefault="00C97E93" w:rsidP="00C97E9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</w:t>
      </w:r>
    </w:p>
    <w:p w:rsidR="00C97E93" w:rsidRDefault="00C97E93" w:rsidP="00C97E93">
      <w:pPr>
        <w:rPr>
          <w:sz w:val="28"/>
          <w:szCs w:val="28"/>
        </w:rPr>
      </w:pPr>
    </w:p>
    <w:p w:rsidR="00C97E93" w:rsidRPr="00DF35D5" w:rsidRDefault="00C97E93" w:rsidP="00C97E93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DF35D5">
        <w:rPr>
          <w:i/>
          <w:sz w:val="28"/>
          <w:szCs w:val="28"/>
          <w:u w:val="single"/>
        </w:rPr>
        <w:t>Приглашенные:</w:t>
      </w:r>
    </w:p>
    <w:p w:rsidR="00C97E93" w:rsidRDefault="00C97E93" w:rsidP="00C97E9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технического отдела                                                 </w:t>
      </w:r>
    </w:p>
    <w:p w:rsidR="00C97E93" w:rsidRPr="009749BC" w:rsidRDefault="00C97E93" w:rsidP="00C97E93">
      <w:pPr>
        <w:rPr>
          <w:b/>
          <w:i/>
          <w:sz w:val="28"/>
          <w:szCs w:val="28"/>
          <w:u w:val="single"/>
        </w:rPr>
      </w:pPr>
      <w:r w:rsidRPr="00387DC4">
        <w:rPr>
          <w:b/>
          <w:i/>
          <w:sz w:val="28"/>
          <w:szCs w:val="28"/>
          <w:u w:val="single"/>
        </w:rPr>
        <w:t xml:space="preserve"> </w:t>
      </w:r>
      <w:r w:rsidRPr="00DF35D5">
        <w:rPr>
          <w:b/>
          <w:i/>
          <w:sz w:val="28"/>
          <w:szCs w:val="28"/>
          <w:u w:val="single"/>
        </w:rPr>
        <w:t>Повестка дня заседания:</w:t>
      </w:r>
    </w:p>
    <w:p w:rsidR="00C97E93" w:rsidRPr="009749BC" w:rsidRDefault="00C97E93" w:rsidP="00C97E93">
      <w:pPr>
        <w:rPr>
          <w:sz w:val="28"/>
          <w:szCs w:val="28"/>
        </w:rPr>
      </w:pPr>
    </w:p>
    <w:p w:rsidR="00C97E93" w:rsidRPr="001F5667" w:rsidRDefault="00C97E93" w:rsidP="00C97E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Принятие решения о заключении договора </w:t>
      </w:r>
      <w:r w:rsidRPr="001F5667">
        <w:rPr>
          <w:sz w:val="28"/>
          <w:szCs w:val="28"/>
        </w:rPr>
        <w:t xml:space="preserve">на осуществление технологического присоединения </w:t>
      </w:r>
      <w:proofErr w:type="spellStart"/>
      <w:r w:rsidRPr="001F5667">
        <w:rPr>
          <w:sz w:val="28"/>
          <w:szCs w:val="28"/>
        </w:rPr>
        <w:t>энергопринимающих</w:t>
      </w:r>
      <w:proofErr w:type="spellEnd"/>
      <w:r w:rsidRPr="001F5667">
        <w:rPr>
          <w:sz w:val="28"/>
          <w:szCs w:val="28"/>
        </w:rPr>
        <w:t xml:space="preserve"> устройств контейнерного терминала </w:t>
      </w:r>
      <w:r>
        <w:rPr>
          <w:sz w:val="28"/>
          <w:szCs w:val="28"/>
        </w:rPr>
        <w:t>ОАО «ТрансКонтейнер» на</w:t>
      </w:r>
      <w:r w:rsidRPr="001F5667">
        <w:rPr>
          <w:sz w:val="28"/>
          <w:szCs w:val="28"/>
        </w:rPr>
        <w:t xml:space="preserve"> ст. Благовещенск</w:t>
      </w:r>
      <w:r>
        <w:rPr>
          <w:sz w:val="28"/>
          <w:szCs w:val="28"/>
        </w:rPr>
        <w:t xml:space="preserve"> </w:t>
      </w:r>
      <w:r w:rsidRPr="001F5667">
        <w:rPr>
          <w:sz w:val="28"/>
          <w:szCs w:val="28"/>
        </w:rPr>
        <w:t>в 2013 году</w:t>
      </w:r>
      <w:r>
        <w:rPr>
          <w:sz w:val="28"/>
          <w:szCs w:val="28"/>
        </w:rPr>
        <w:t xml:space="preserve"> </w:t>
      </w:r>
      <w:r w:rsidRPr="001F5667">
        <w:rPr>
          <w:sz w:val="28"/>
          <w:szCs w:val="28"/>
        </w:rPr>
        <w:t>у единственного поставщика (исполнителя, подрядчика).</w:t>
      </w:r>
    </w:p>
    <w:p w:rsidR="00C97E93" w:rsidRPr="00C97E93" w:rsidRDefault="00C97E93" w:rsidP="00C97E9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НКПТех</w:t>
      </w:r>
      <w:proofErr w:type="spellEnd"/>
      <w:r>
        <w:rPr>
          <w:sz w:val="28"/>
          <w:szCs w:val="28"/>
        </w:rPr>
        <w:t xml:space="preserve"> </w:t>
      </w:r>
    </w:p>
    <w:p w:rsidR="00C97E93" w:rsidRPr="00374C15" w:rsidRDefault="00C97E93" w:rsidP="00C97E93">
      <w:pPr>
        <w:jc w:val="both"/>
        <w:rPr>
          <w:sz w:val="28"/>
          <w:szCs w:val="28"/>
        </w:rPr>
      </w:pPr>
    </w:p>
    <w:p w:rsidR="00C97E93" w:rsidRDefault="00C97E93" w:rsidP="00C97E93">
      <w:pPr>
        <w:jc w:val="both"/>
        <w:rPr>
          <w:sz w:val="28"/>
          <w:szCs w:val="28"/>
        </w:rPr>
      </w:pPr>
    </w:p>
    <w:p w:rsidR="00C97E93" w:rsidRPr="00374C15" w:rsidRDefault="00C97E93" w:rsidP="00C97E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Конкурсной комиссией </w:t>
      </w:r>
      <w:r w:rsidRPr="00374C15">
        <w:rPr>
          <w:b/>
          <w:sz w:val="28"/>
          <w:szCs w:val="28"/>
        </w:rPr>
        <w:t>принято решение:</w:t>
      </w:r>
    </w:p>
    <w:p w:rsidR="00C97E93" w:rsidRPr="000F75F4" w:rsidRDefault="00C97E93" w:rsidP="00C97E93">
      <w:pPr>
        <w:jc w:val="both"/>
        <w:rPr>
          <w:sz w:val="28"/>
          <w:szCs w:val="28"/>
        </w:rPr>
      </w:pPr>
    </w:p>
    <w:p w:rsidR="00C97E93" w:rsidRPr="00A05755" w:rsidRDefault="00C97E93" w:rsidP="00C97E9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проводимой реконструкцией контейнерного терминала АКП Благовещенск, монтажом нового козлового крана, необходимо дополнительное энергоснабжение. Для этого необходимо заключить договор </w:t>
      </w:r>
      <w:r w:rsidRPr="009508BA">
        <w:rPr>
          <w:sz w:val="28"/>
          <w:szCs w:val="28"/>
        </w:rPr>
        <w:t xml:space="preserve">на осуществление технологического присоединения </w:t>
      </w:r>
      <w:proofErr w:type="spellStart"/>
      <w:r w:rsidRPr="009508BA">
        <w:rPr>
          <w:sz w:val="28"/>
          <w:szCs w:val="28"/>
        </w:rPr>
        <w:t>энергопринимающих</w:t>
      </w:r>
      <w:proofErr w:type="spellEnd"/>
      <w:r w:rsidRPr="009508BA">
        <w:rPr>
          <w:sz w:val="28"/>
          <w:szCs w:val="28"/>
        </w:rPr>
        <w:t xml:space="preserve"> устройств контейнерного терминала Агентства контейнерного терминала ст. Благовещенск</w:t>
      </w:r>
      <w:r>
        <w:rPr>
          <w:sz w:val="28"/>
          <w:szCs w:val="28"/>
        </w:rPr>
        <w:t xml:space="preserve"> с </w:t>
      </w:r>
      <w:r w:rsidRPr="001F5667">
        <w:rPr>
          <w:sz w:val="28"/>
          <w:szCs w:val="28"/>
        </w:rPr>
        <w:t>единственн</w:t>
      </w:r>
      <w:r>
        <w:rPr>
          <w:sz w:val="28"/>
          <w:szCs w:val="28"/>
        </w:rPr>
        <w:t>ым</w:t>
      </w:r>
      <w:r w:rsidRPr="001F5667">
        <w:rPr>
          <w:sz w:val="28"/>
          <w:szCs w:val="28"/>
        </w:rPr>
        <w:t xml:space="preserve"> поставщик</w:t>
      </w:r>
      <w:r>
        <w:rPr>
          <w:sz w:val="28"/>
          <w:szCs w:val="28"/>
        </w:rPr>
        <w:t>ом - ОАО «Амурские коммунальные сети»</w:t>
      </w:r>
      <w:r w:rsidRPr="009749BC">
        <w:rPr>
          <w:sz w:val="28"/>
          <w:szCs w:val="28"/>
        </w:rPr>
        <w:t xml:space="preserve"> </w:t>
      </w:r>
      <w:r w:rsidRPr="00340D01">
        <w:rPr>
          <w:sz w:val="28"/>
          <w:szCs w:val="28"/>
        </w:rPr>
        <w:t>на следующих условиях:</w:t>
      </w:r>
    </w:p>
    <w:p w:rsidR="00C97E93" w:rsidRDefault="00C97E93" w:rsidP="00C97E93">
      <w:pPr>
        <w:jc w:val="both"/>
        <w:rPr>
          <w:sz w:val="28"/>
          <w:szCs w:val="28"/>
        </w:rPr>
      </w:pPr>
    </w:p>
    <w:p w:rsidR="00C97E93" w:rsidRPr="009508BA" w:rsidRDefault="00C97E93" w:rsidP="00C97E93">
      <w:pPr>
        <w:jc w:val="both"/>
        <w:rPr>
          <w:sz w:val="28"/>
          <w:szCs w:val="28"/>
        </w:rPr>
      </w:pPr>
      <w:r w:rsidRPr="00374C15">
        <w:rPr>
          <w:sz w:val="28"/>
          <w:szCs w:val="28"/>
        </w:rPr>
        <w:t xml:space="preserve">            </w:t>
      </w:r>
      <w:r w:rsidRPr="00EF5449">
        <w:rPr>
          <w:b/>
          <w:sz w:val="28"/>
          <w:szCs w:val="28"/>
        </w:rPr>
        <w:t>Предмет договора</w:t>
      </w:r>
      <w:r w:rsidRPr="00374C15">
        <w:rPr>
          <w:sz w:val="28"/>
          <w:szCs w:val="28"/>
        </w:rPr>
        <w:t xml:space="preserve">: </w:t>
      </w:r>
      <w:r w:rsidRPr="009508BA">
        <w:rPr>
          <w:sz w:val="28"/>
          <w:szCs w:val="28"/>
        </w:rPr>
        <w:t xml:space="preserve">Заключение договора на осуществление технологического присоединения </w:t>
      </w:r>
      <w:proofErr w:type="spellStart"/>
      <w:r w:rsidRPr="009508BA">
        <w:rPr>
          <w:sz w:val="28"/>
          <w:szCs w:val="28"/>
        </w:rPr>
        <w:t>энергопринимающих</w:t>
      </w:r>
      <w:proofErr w:type="spellEnd"/>
      <w:r w:rsidRPr="009508BA">
        <w:rPr>
          <w:sz w:val="28"/>
          <w:szCs w:val="28"/>
        </w:rPr>
        <w:t xml:space="preserve"> устройств контейнерного терминала Агентства контейнерного терминала ст. Благовещенск.</w:t>
      </w:r>
    </w:p>
    <w:p w:rsidR="00C97E93" w:rsidRPr="009508BA" w:rsidRDefault="00C97E93" w:rsidP="00C97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63596">
        <w:rPr>
          <w:b/>
          <w:sz w:val="28"/>
          <w:szCs w:val="28"/>
        </w:rPr>
        <w:t>Количество (Объем) Работ</w:t>
      </w:r>
      <w:r w:rsidRPr="00EF5449">
        <w:rPr>
          <w:b/>
          <w:sz w:val="28"/>
          <w:szCs w:val="28"/>
        </w:rPr>
        <w:t>:</w:t>
      </w:r>
      <w:r w:rsidRPr="00EF5449">
        <w:rPr>
          <w:sz w:val="28"/>
          <w:szCs w:val="28"/>
        </w:rPr>
        <w:t xml:space="preserve"> </w:t>
      </w:r>
      <w:r w:rsidRPr="009508BA">
        <w:rPr>
          <w:sz w:val="28"/>
          <w:szCs w:val="28"/>
        </w:rPr>
        <w:t xml:space="preserve">В соответствии с техническими условиями № 101-105-1121 технологическое присоединение </w:t>
      </w:r>
      <w:proofErr w:type="spellStart"/>
      <w:r w:rsidRPr="009508BA">
        <w:rPr>
          <w:sz w:val="28"/>
          <w:szCs w:val="28"/>
        </w:rPr>
        <w:t>энергопринимающих</w:t>
      </w:r>
      <w:proofErr w:type="spellEnd"/>
      <w:r w:rsidRPr="009508BA">
        <w:rPr>
          <w:sz w:val="28"/>
          <w:szCs w:val="28"/>
        </w:rPr>
        <w:t xml:space="preserve"> устройств контейнерного терминала осуществляется с учетом следующих характеристик:</w:t>
      </w:r>
    </w:p>
    <w:p w:rsidR="00C97E93" w:rsidRDefault="00C97E93" w:rsidP="00C97E93">
      <w:pPr>
        <w:jc w:val="both"/>
        <w:rPr>
          <w:sz w:val="28"/>
          <w:szCs w:val="28"/>
        </w:rPr>
      </w:pPr>
      <w:r w:rsidRPr="009508BA">
        <w:rPr>
          <w:sz w:val="28"/>
          <w:szCs w:val="28"/>
        </w:rPr>
        <w:t xml:space="preserve">максимальная мощность присоединяемых </w:t>
      </w:r>
      <w:proofErr w:type="spellStart"/>
      <w:r w:rsidRPr="009508BA">
        <w:rPr>
          <w:sz w:val="28"/>
          <w:szCs w:val="28"/>
        </w:rPr>
        <w:t>энергопринимающих</w:t>
      </w:r>
      <w:proofErr w:type="spellEnd"/>
      <w:r w:rsidRPr="009508BA">
        <w:rPr>
          <w:sz w:val="28"/>
          <w:szCs w:val="28"/>
        </w:rPr>
        <w:t xml:space="preserve"> устройств:</w:t>
      </w:r>
    </w:p>
    <w:p w:rsidR="00C97E93" w:rsidRPr="009508BA" w:rsidRDefault="00C97E93" w:rsidP="00C97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8BA">
        <w:rPr>
          <w:sz w:val="28"/>
          <w:szCs w:val="28"/>
        </w:rPr>
        <w:t>1070 кВт;</w:t>
      </w:r>
    </w:p>
    <w:p w:rsidR="00C97E93" w:rsidRPr="009508BA" w:rsidRDefault="00C97E93" w:rsidP="00C97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8BA">
        <w:rPr>
          <w:sz w:val="28"/>
          <w:szCs w:val="28"/>
        </w:rPr>
        <w:t xml:space="preserve">категория надежности: </w:t>
      </w:r>
      <w:r w:rsidRPr="009508BA">
        <w:rPr>
          <w:sz w:val="28"/>
          <w:szCs w:val="28"/>
          <w:lang w:val="en-US"/>
        </w:rPr>
        <w:t>II</w:t>
      </w:r>
      <w:r w:rsidRPr="009508BA">
        <w:rPr>
          <w:sz w:val="28"/>
          <w:szCs w:val="28"/>
        </w:rPr>
        <w:t>;</w:t>
      </w:r>
    </w:p>
    <w:p w:rsidR="00C97E93" w:rsidRPr="009508BA" w:rsidRDefault="00C97E93" w:rsidP="00C97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8BA">
        <w:rPr>
          <w:sz w:val="28"/>
          <w:szCs w:val="28"/>
        </w:rPr>
        <w:t>класс напряжения электрических сетей, к которым осуществляется технологическое присоединение: 10 кВ.</w:t>
      </w:r>
    </w:p>
    <w:p w:rsidR="00C97E93" w:rsidRPr="00807867" w:rsidRDefault="00C97E93" w:rsidP="00C97E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30199">
        <w:rPr>
          <w:b/>
          <w:sz w:val="28"/>
          <w:szCs w:val="28"/>
        </w:rPr>
        <w:t>Максимальная цена договора:</w:t>
      </w:r>
      <w:r w:rsidRPr="00EF5449">
        <w:rPr>
          <w:b/>
          <w:sz w:val="28"/>
          <w:szCs w:val="28"/>
        </w:rPr>
        <w:t xml:space="preserve"> </w:t>
      </w:r>
      <w:r w:rsidRPr="00807867">
        <w:rPr>
          <w:sz w:val="28"/>
          <w:szCs w:val="28"/>
        </w:rPr>
        <w:t>756 710,86 рублей, с учетом всех расходов и налогов, кроме НДС.</w:t>
      </w:r>
    </w:p>
    <w:p w:rsidR="00C97E93" w:rsidRDefault="00C97E93" w:rsidP="00C97E93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Форма, сроки и порядок оплаты</w:t>
      </w:r>
      <w:r w:rsidRPr="00E45513">
        <w:rPr>
          <w:b/>
          <w:sz w:val="28"/>
          <w:szCs w:val="28"/>
        </w:rPr>
        <w:t xml:space="preserve">: </w:t>
      </w:r>
    </w:p>
    <w:p w:rsidR="00C97E93" w:rsidRPr="003927D3" w:rsidRDefault="00C97E93" w:rsidP="00C97E93">
      <w:pPr>
        <w:pStyle w:val="Default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   Авансовый платеж в размере 100% стоимости за технологическое присоединение вносится в течение 15 дней </w:t>
      </w:r>
      <w:proofErr w:type="gramStart"/>
      <w:r>
        <w:rPr>
          <w:iCs/>
          <w:color w:val="auto"/>
          <w:sz w:val="28"/>
          <w:szCs w:val="28"/>
        </w:rPr>
        <w:t>с даты заключения</w:t>
      </w:r>
      <w:proofErr w:type="gramEnd"/>
      <w:r>
        <w:rPr>
          <w:iCs/>
          <w:color w:val="auto"/>
          <w:sz w:val="28"/>
          <w:szCs w:val="28"/>
        </w:rPr>
        <w:t xml:space="preserve"> Договора.</w:t>
      </w:r>
    </w:p>
    <w:p w:rsidR="00C97E93" w:rsidRPr="003927D3" w:rsidRDefault="00C97E93" w:rsidP="00C97E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45513">
        <w:rPr>
          <w:b/>
          <w:iCs/>
          <w:sz w:val="28"/>
          <w:szCs w:val="28"/>
        </w:rPr>
        <w:t xml:space="preserve">Срок </w:t>
      </w:r>
      <w:r>
        <w:rPr>
          <w:b/>
          <w:iCs/>
          <w:sz w:val="28"/>
          <w:szCs w:val="28"/>
        </w:rPr>
        <w:t>оказания</w:t>
      </w:r>
      <w:r w:rsidRPr="00E45513">
        <w:rPr>
          <w:b/>
          <w:iCs/>
          <w:sz w:val="28"/>
          <w:szCs w:val="28"/>
        </w:rPr>
        <w:t xml:space="preserve"> услуг: </w:t>
      </w:r>
      <w:r>
        <w:rPr>
          <w:iCs/>
          <w:color w:val="auto"/>
          <w:sz w:val="28"/>
          <w:szCs w:val="28"/>
        </w:rPr>
        <w:t>до</w:t>
      </w:r>
      <w:r w:rsidRPr="003927D3">
        <w:rPr>
          <w:b/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31 декабря 2013 года.</w:t>
      </w:r>
    </w:p>
    <w:p w:rsidR="00C97E93" w:rsidRDefault="00C97E93" w:rsidP="00C97E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45513">
        <w:rPr>
          <w:b/>
          <w:iCs/>
          <w:sz w:val="28"/>
          <w:szCs w:val="28"/>
        </w:rPr>
        <w:t>Место оказания услуг:</w:t>
      </w:r>
      <w:r>
        <w:rPr>
          <w:iCs/>
          <w:sz w:val="28"/>
          <w:szCs w:val="28"/>
        </w:rPr>
        <w:t xml:space="preserve"> </w:t>
      </w:r>
      <w:r w:rsidRPr="00433DF4">
        <w:rPr>
          <w:iCs/>
          <w:color w:val="auto"/>
          <w:sz w:val="28"/>
          <w:szCs w:val="28"/>
        </w:rPr>
        <w:t>675000, Амурская область</w:t>
      </w:r>
      <w:r>
        <w:rPr>
          <w:iCs/>
          <w:color w:val="auto"/>
          <w:sz w:val="28"/>
          <w:szCs w:val="28"/>
        </w:rPr>
        <w:t xml:space="preserve">, </w:t>
      </w:r>
      <w:proofErr w:type="gramStart"/>
      <w:r>
        <w:rPr>
          <w:iCs/>
          <w:color w:val="auto"/>
          <w:sz w:val="28"/>
          <w:szCs w:val="28"/>
        </w:rPr>
        <w:t>г</w:t>
      </w:r>
      <w:proofErr w:type="gramEnd"/>
      <w:r>
        <w:rPr>
          <w:iCs/>
          <w:color w:val="auto"/>
          <w:sz w:val="28"/>
          <w:szCs w:val="28"/>
        </w:rPr>
        <w:t>. Благовещенск, ул. Станционная, 70</w:t>
      </w:r>
      <w:r w:rsidRPr="00433DF4">
        <w:rPr>
          <w:color w:val="auto"/>
          <w:sz w:val="28"/>
          <w:szCs w:val="28"/>
        </w:rPr>
        <w:t>.</w:t>
      </w:r>
    </w:p>
    <w:p w:rsidR="00C97E93" w:rsidRPr="003927D3" w:rsidRDefault="00C97E93" w:rsidP="00C97E93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</w:p>
    <w:p w:rsidR="00C97E93" w:rsidRPr="009508BA" w:rsidRDefault="00C97E93" w:rsidP="00C97E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508BA">
        <w:rPr>
          <w:sz w:val="28"/>
          <w:szCs w:val="28"/>
        </w:rPr>
        <w:t>Начальнику технического отдела филиала заключить установленным порядком договор с ОАО «Амурские коммунальные системы».</w:t>
      </w:r>
    </w:p>
    <w:p w:rsidR="00C97E93" w:rsidRDefault="00C97E93" w:rsidP="00C97E93">
      <w:pPr>
        <w:jc w:val="both"/>
        <w:rPr>
          <w:sz w:val="28"/>
          <w:szCs w:val="28"/>
        </w:rPr>
      </w:pPr>
    </w:p>
    <w:p w:rsidR="00C97E93" w:rsidRPr="009508BA" w:rsidRDefault="00C97E93" w:rsidP="00C97E93">
      <w:pPr>
        <w:jc w:val="both"/>
        <w:rPr>
          <w:sz w:val="28"/>
          <w:szCs w:val="28"/>
        </w:rPr>
      </w:pPr>
    </w:p>
    <w:p w:rsidR="00C97E93" w:rsidRPr="00C97E93" w:rsidRDefault="00C97E93" w:rsidP="00C97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конкурсной комиссии                                                 </w:t>
      </w:r>
    </w:p>
    <w:p w:rsidR="00C97E93" w:rsidRDefault="00C97E93" w:rsidP="00C97E93"/>
    <w:p w:rsidR="00C97E93" w:rsidRDefault="00C97E93" w:rsidP="00C97E93"/>
    <w:p w:rsidR="00C97E93" w:rsidRDefault="00C97E93" w:rsidP="00C97E93"/>
    <w:p w:rsidR="00C97E93" w:rsidRDefault="00C97E93" w:rsidP="00C97E93"/>
    <w:p w:rsidR="00C97E93" w:rsidRDefault="00C97E93" w:rsidP="00C97E93"/>
    <w:p w:rsidR="00C97E93" w:rsidRDefault="00C97E93" w:rsidP="00C97E93"/>
    <w:p w:rsidR="00C97E93" w:rsidRPr="00C97E93" w:rsidRDefault="00C97E93" w:rsidP="00C97E93">
      <w:pPr>
        <w:rPr>
          <w:sz w:val="28"/>
          <w:szCs w:val="28"/>
        </w:rPr>
      </w:pPr>
      <w:r w:rsidRPr="00BB5A27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конкурсной</w:t>
      </w:r>
      <w:r w:rsidRPr="00BB5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5A27">
        <w:rPr>
          <w:sz w:val="28"/>
          <w:szCs w:val="28"/>
        </w:rPr>
        <w:t xml:space="preserve">комиссии                                                  </w:t>
      </w:r>
      <w:r>
        <w:rPr>
          <w:sz w:val="28"/>
          <w:szCs w:val="28"/>
        </w:rPr>
        <w:t xml:space="preserve">         </w:t>
      </w:r>
    </w:p>
    <w:p w:rsidR="00C97E93" w:rsidRDefault="00C97E93" w:rsidP="00C97E93">
      <w:pPr>
        <w:rPr>
          <w:sz w:val="28"/>
          <w:szCs w:val="28"/>
        </w:rPr>
      </w:pPr>
    </w:p>
    <w:p w:rsidR="00C97E93" w:rsidRPr="00C266D7" w:rsidRDefault="00C97E93" w:rsidP="00C97E93">
      <w:pPr>
        <w:rPr>
          <w:sz w:val="28"/>
          <w:szCs w:val="28"/>
          <w:u w:val="single"/>
        </w:rPr>
      </w:pPr>
      <w:r w:rsidRPr="00C266D7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04</w:t>
      </w:r>
      <w:r w:rsidRPr="00C266D7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июля</w:t>
      </w:r>
      <w:r w:rsidRPr="00C266D7">
        <w:rPr>
          <w:sz w:val="28"/>
          <w:szCs w:val="28"/>
          <w:u w:val="single"/>
        </w:rPr>
        <w:t xml:space="preserve"> 2013 года</w:t>
      </w:r>
    </w:p>
    <w:p w:rsidR="008A399B" w:rsidRDefault="008A399B"/>
    <w:sectPr w:rsidR="008A399B" w:rsidSect="00BB5A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E93"/>
    <w:rsid w:val="008A399B"/>
    <w:rsid w:val="00C9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E9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C97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E9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7E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97E93"/>
    <w:pPr>
      <w:ind w:left="720"/>
      <w:contextualSpacing/>
    </w:pPr>
  </w:style>
  <w:style w:type="paragraph" w:customStyle="1" w:styleId="Default">
    <w:name w:val="Default"/>
    <w:rsid w:val="00C97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2013-07-05T05:53:00Z</dcterms:created>
  <dcterms:modified xsi:type="dcterms:W3CDTF">2013-07-05T05:59:00Z</dcterms:modified>
</cp:coreProperties>
</file>