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40C8A"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637C9" w:rsidRPr="004679A3">
        <w:rPr>
          <w:b/>
          <w:bCs/>
          <w:szCs w:val="28"/>
        </w:rPr>
        <w:t>4</w:t>
      </w:r>
      <w:r w:rsidR="006637A6">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637C9">
        <w:rPr>
          <w:b/>
          <w:bCs/>
          <w:szCs w:val="28"/>
        </w:rPr>
        <w:t>2</w:t>
      </w:r>
      <w:r w:rsidR="006637A6">
        <w:rPr>
          <w:b/>
          <w:bCs/>
          <w:szCs w:val="28"/>
        </w:rPr>
        <w:t>6</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6637A6" w:rsidRPr="00974435" w:rsidRDefault="00974435" w:rsidP="006637A6">
      <w:pPr>
        <w:ind w:left="720"/>
        <w:jc w:val="both"/>
        <w:rPr>
          <w:color w:val="000000"/>
          <w:szCs w:val="28"/>
          <w:lang w:val="en-US"/>
        </w:rPr>
      </w:pPr>
      <w:r>
        <w:rPr>
          <w:color w:val="000000"/>
          <w:szCs w:val="28"/>
          <w:lang w:val="en-US"/>
        </w:rPr>
        <w:t>….</w:t>
      </w:r>
    </w:p>
    <w:p w:rsidR="006637A6" w:rsidRPr="005D65BC" w:rsidRDefault="006637A6" w:rsidP="006637A6">
      <w:pPr>
        <w:ind w:left="720"/>
        <w:jc w:val="both"/>
        <w:rPr>
          <w:szCs w:val="28"/>
        </w:rPr>
      </w:pPr>
    </w:p>
    <w:p w:rsidR="006637A6" w:rsidRPr="00230CF8" w:rsidRDefault="006637A6" w:rsidP="006637A6">
      <w:pPr>
        <w:pStyle w:val="13"/>
        <w:numPr>
          <w:ilvl w:val="0"/>
          <w:numId w:val="2"/>
        </w:numPr>
        <w:suppressAutoHyphens/>
        <w:ind w:left="720"/>
        <w:rPr>
          <w:szCs w:val="28"/>
        </w:rPr>
      </w:pPr>
      <w:r w:rsidRPr="00230CF8">
        <w:rPr>
          <w:szCs w:val="28"/>
        </w:rPr>
        <w:t>Подведение итогов открытого конкурса на право заключения договора на оказание  комплекса информационных услуг и услуг таможенного представителя в 2013-2016 годах.</w:t>
      </w:r>
    </w:p>
    <w:p w:rsidR="006637A6" w:rsidRPr="006637A6" w:rsidRDefault="006637A6" w:rsidP="006637A6">
      <w:pPr>
        <w:ind w:left="720"/>
        <w:jc w:val="both"/>
        <w:rPr>
          <w:szCs w:val="28"/>
        </w:rPr>
      </w:pPr>
      <w:r w:rsidRPr="006637A6">
        <w:rPr>
          <w:szCs w:val="28"/>
        </w:rPr>
        <w:t>Докладчик: ЦКПВТ Бутенко С.А.</w:t>
      </w:r>
    </w:p>
    <w:p w:rsidR="006637A6" w:rsidRPr="00672323" w:rsidRDefault="006637A6" w:rsidP="006637A6">
      <w:pPr>
        <w:ind w:left="720"/>
        <w:jc w:val="both"/>
        <w:rPr>
          <w:szCs w:val="28"/>
          <w:lang w:val="en-US"/>
        </w:rPr>
      </w:pPr>
      <w:r w:rsidRPr="006637A6">
        <w:rPr>
          <w:color w:val="000000"/>
          <w:szCs w:val="28"/>
        </w:rPr>
        <w:t>Конкурс:</w:t>
      </w:r>
      <w:r w:rsidRPr="00E3403A">
        <w:rPr>
          <w:color w:val="000000"/>
          <w:szCs w:val="28"/>
        </w:rPr>
        <w:t xml:space="preserve"> </w:t>
      </w:r>
      <w:r w:rsidRPr="00E3403A">
        <w:rPr>
          <w:szCs w:val="28"/>
        </w:rPr>
        <w:t>ОК/016/ЦКПВТ/0100</w:t>
      </w:r>
    </w:p>
    <w:p w:rsidR="00A70E6B" w:rsidRDefault="00A70E6B" w:rsidP="007159BF">
      <w:pPr>
        <w:tabs>
          <w:tab w:val="left" w:pos="993"/>
        </w:tabs>
        <w:ind w:left="993" w:hanging="284"/>
        <w:rPr>
          <w:szCs w:val="28"/>
        </w:rPr>
      </w:pPr>
    </w:p>
    <w:p w:rsidR="006637A6" w:rsidRPr="00974435" w:rsidRDefault="00974435" w:rsidP="006637A6">
      <w:pPr>
        <w:ind w:firstLine="709"/>
        <w:jc w:val="both"/>
        <w:rPr>
          <w:color w:val="000000"/>
          <w:lang w:val="en-US"/>
        </w:rPr>
      </w:pPr>
      <w:r>
        <w:rPr>
          <w:b/>
          <w:szCs w:val="28"/>
          <w:lang w:val="en-US"/>
        </w:rPr>
        <w:t>….</w:t>
      </w:r>
    </w:p>
    <w:p w:rsidR="006637A6" w:rsidRPr="006637A6" w:rsidRDefault="006637A6" w:rsidP="00230CF8">
      <w:pPr>
        <w:pStyle w:val="ad"/>
        <w:ind w:left="720"/>
        <w:rPr>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5D65BC" w:rsidRDefault="006816C5" w:rsidP="00230CF8">
      <w:pPr>
        <w:pStyle w:val="13"/>
        <w:numPr>
          <w:ilvl w:val="0"/>
          <w:numId w:val="48"/>
        </w:numPr>
        <w:suppressAutoHyphens/>
        <w:ind w:left="0" w:firstLine="709"/>
        <w:rPr>
          <w:szCs w:val="28"/>
        </w:rPr>
      </w:pPr>
      <w:r>
        <w:rPr>
          <w:szCs w:val="28"/>
        </w:rPr>
        <w:t xml:space="preserve">Согласиться </w:t>
      </w:r>
      <w:r w:rsidR="005D65BC" w:rsidRPr="006637A6">
        <w:rPr>
          <w:szCs w:val="28"/>
        </w:rPr>
        <w:t xml:space="preserve">с выводами и предложениями Постоянной рабочей группы Конкурсной комиссии </w:t>
      </w:r>
      <w:r w:rsidR="005D65BC">
        <w:rPr>
          <w:szCs w:val="28"/>
        </w:rPr>
        <w:t>аппарата управления</w:t>
      </w:r>
      <w:r w:rsidR="005D65BC" w:rsidRPr="006637A6">
        <w:rPr>
          <w:szCs w:val="28"/>
        </w:rPr>
        <w:t xml:space="preserve">  (Протокол № </w:t>
      </w:r>
      <w:r w:rsidR="00CD2B4A">
        <w:rPr>
          <w:szCs w:val="28"/>
        </w:rPr>
        <w:t>46</w:t>
      </w:r>
      <w:r w:rsidR="005D65BC" w:rsidRPr="006637A6">
        <w:rPr>
          <w:szCs w:val="28"/>
        </w:rPr>
        <w:t xml:space="preserve">/ПРГ заседания, </w:t>
      </w:r>
      <w:r w:rsidR="00B8231E" w:rsidRPr="006637A6">
        <w:rPr>
          <w:szCs w:val="28"/>
        </w:rPr>
        <w:t>состоявшегося</w:t>
      </w:r>
      <w:r w:rsidR="00B8231E">
        <w:rPr>
          <w:szCs w:val="28"/>
        </w:rPr>
        <w:t xml:space="preserve"> </w:t>
      </w:r>
      <w:r w:rsidR="00CD2B4A">
        <w:rPr>
          <w:szCs w:val="28"/>
        </w:rPr>
        <w:t>22</w:t>
      </w:r>
      <w:r w:rsidR="00CD2B4A" w:rsidRPr="006637A6">
        <w:rPr>
          <w:szCs w:val="28"/>
        </w:rPr>
        <w:t xml:space="preserve"> </w:t>
      </w:r>
      <w:r w:rsidR="005D65BC" w:rsidRPr="006637A6">
        <w:rPr>
          <w:szCs w:val="28"/>
        </w:rPr>
        <w:t xml:space="preserve">ноября 2013 г.) в части принятия решения </w:t>
      </w:r>
      <w:r w:rsidR="005D65BC">
        <w:rPr>
          <w:szCs w:val="28"/>
        </w:rPr>
        <w:t xml:space="preserve">не </w:t>
      </w:r>
      <w:r w:rsidR="005D65BC" w:rsidRPr="006637A6">
        <w:rPr>
          <w:szCs w:val="28"/>
        </w:rPr>
        <w:t>допустить к участию в конкурсе</w:t>
      </w:r>
      <w:r w:rsidR="005D65BC">
        <w:rPr>
          <w:szCs w:val="28"/>
        </w:rPr>
        <w:t xml:space="preserve"> ООО «ГТД-ОНЛАЙН».</w:t>
      </w:r>
    </w:p>
    <w:p w:rsidR="001558C0" w:rsidRDefault="001558C0" w:rsidP="00230CF8">
      <w:pPr>
        <w:pStyle w:val="13"/>
        <w:numPr>
          <w:ilvl w:val="0"/>
          <w:numId w:val="48"/>
        </w:numPr>
        <w:suppressAutoHyphens/>
        <w:ind w:left="0" w:firstLine="709"/>
        <w:rPr>
          <w:szCs w:val="28"/>
        </w:rPr>
      </w:pPr>
      <w:r>
        <w:rPr>
          <w:szCs w:val="28"/>
        </w:rPr>
        <w:t>О</w:t>
      </w:r>
      <w:r w:rsidRPr="00C20F20">
        <w:rPr>
          <w:szCs w:val="28"/>
        </w:rPr>
        <w:t>ткрыт</w:t>
      </w:r>
      <w:r>
        <w:rPr>
          <w:szCs w:val="28"/>
        </w:rPr>
        <w:t>ый</w:t>
      </w:r>
      <w:r w:rsidRPr="00C20F20">
        <w:rPr>
          <w:szCs w:val="28"/>
        </w:rPr>
        <w:t xml:space="preserve"> конкурс</w:t>
      </w:r>
      <w:r>
        <w:rPr>
          <w:szCs w:val="28"/>
        </w:rPr>
        <w:t xml:space="preserve"> №</w:t>
      </w:r>
      <w:r w:rsidRPr="00C20F20">
        <w:rPr>
          <w:szCs w:val="28"/>
        </w:rPr>
        <w:t xml:space="preserve"> </w:t>
      </w:r>
      <w:r w:rsidRPr="00E3403A">
        <w:rPr>
          <w:szCs w:val="28"/>
        </w:rPr>
        <w:t>ОК/01</w:t>
      </w:r>
      <w:bookmarkStart w:id="0" w:name="_GoBack"/>
      <w:bookmarkEnd w:id="0"/>
      <w:r w:rsidRPr="00E3403A">
        <w:rPr>
          <w:szCs w:val="28"/>
        </w:rPr>
        <w:t>6/ЦКПВТ/0100</w:t>
      </w:r>
      <w:r>
        <w:rPr>
          <w:szCs w:val="28"/>
        </w:rPr>
        <w:t xml:space="preserve"> </w:t>
      </w:r>
      <w:r w:rsidRPr="00C20F20">
        <w:rPr>
          <w:szCs w:val="28"/>
        </w:rPr>
        <w:t xml:space="preserve">на право заключения </w:t>
      </w:r>
      <w:proofErr w:type="gramStart"/>
      <w:r w:rsidRPr="00C20F20">
        <w:rPr>
          <w:szCs w:val="28"/>
        </w:rPr>
        <w:t>договора</w:t>
      </w:r>
      <w:proofErr w:type="gramEnd"/>
      <w:r w:rsidRPr="00C20F20">
        <w:rPr>
          <w:szCs w:val="28"/>
        </w:rPr>
        <w:t xml:space="preserve"> на оказание  комплекса информационных услуг и услуг таможенного </w:t>
      </w:r>
      <w:r>
        <w:rPr>
          <w:szCs w:val="28"/>
        </w:rPr>
        <w:t xml:space="preserve">представителя в 2013-2016 годах признан несостоявшимся </w:t>
      </w:r>
      <w:r>
        <w:t xml:space="preserve">на основании </w:t>
      </w:r>
      <w:r w:rsidRPr="008C5D72">
        <w:t xml:space="preserve">подпункта </w:t>
      </w:r>
      <w:r w:rsidR="005D65BC">
        <w:t>3</w:t>
      </w:r>
      <w:r w:rsidRPr="008C5D72">
        <w:t xml:space="preserve"> пункта 140 Положения о закупках (</w:t>
      </w:r>
      <w:r w:rsidR="005D65BC" w:rsidRPr="002E52D7">
        <w:t>по итогам рассмотрения конкурсных заявок к участию в конкурсе допущен один участник</w:t>
      </w:r>
      <w:r w:rsidRPr="008C5D72">
        <w:t>)</w:t>
      </w:r>
      <w:r>
        <w:t>.</w:t>
      </w:r>
    </w:p>
    <w:p w:rsidR="001558C0" w:rsidRPr="005D65BC" w:rsidRDefault="005D65BC" w:rsidP="00230CF8">
      <w:pPr>
        <w:pStyle w:val="13"/>
        <w:numPr>
          <w:ilvl w:val="0"/>
          <w:numId w:val="48"/>
        </w:numPr>
        <w:suppressAutoHyphens/>
        <w:ind w:left="0" w:firstLine="709"/>
        <w:rPr>
          <w:szCs w:val="28"/>
        </w:rPr>
      </w:pPr>
      <w:r>
        <w:rPr>
          <w:szCs w:val="28"/>
        </w:rPr>
        <w:lastRenderedPageBreak/>
        <w:t xml:space="preserve">Заявка на участие в конкурсе, поданная </w:t>
      </w:r>
      <w:r>
        <w:t xml:space="preserve">ООО «Транспорт </w:t>
      </w:r>
      <w:proofErr w:type="spellStart"/>
      <w:r>
        <w:t>девелопмент</w:t>
      </w:r>
      <w:proofErr w:type="spellEnd"/>
      <w:r>
        <w:t xml:space="preserve"> групп», соответствует требованиям конкурсной документации.</w:t>
      </w:r>
    </w:p>
    <w:p w:rsidR="005D65BC" w:rsidRDefault="005D65BC" w:rsidP="00230CF8">
      <w:pPr>
        <w:pStyle w:val="ad"/>
        <w:numPr>
          <w:ilvl w:val="0"/>
          <w:numId w:val="48"/>
        </w:numPr>
        <w:ind w:left="0" w:firstLine="709"/>
        <w:jc w:val="both"/>
        <w:rPr>
          <w:szCs w:val="28"/>
        </w:rPr>
      </w:pPr>
      <w:r w:rsidRPr="00973090">
        <w:rPr>
          <w:szCs w:val="28"/>
        </w:rPr>
        <w:t xml:space="preserve">Согласиться с выводами и предложениями Постоянной рабочей группы Конкурсной комиссии </w:t>
      </w:r>
      <w:r w:rsidRPr="00CD2B4A">
        <w:rPr>
          <w:szCs w:val="28"/>
        </w:rPr>
        <w:t>аппарата управления (</w:t>
      </w:r>
      <w:r w:rsidRPr="00B8231E">
        <w:rPr>
          <w:szCs w:val="28"/>
        </w:rPr>
        <w:t xml:space="preserve">Протокол № </w:t>
      </w:r>
      <w:r w:rsidR="00CD2B4A" w:rsidRPr="00B8231E">
        <w:rPr>
          <w:szCs w:val="28"/>
        </w:rPr>
        <w:t>4</w:t>
      </w:r>
      <w:r w:rsidR="00CD2B4A" w:rsidRPr="005013E9">
        <w:rPr>
          <w:szCs w:val="28"/>
        </w:rPr>
        <w:t>6</w:t>
      </w:r>
      <w:r w:rsidRPr="00CD2B4A">
        <w:rPr>
          <w:szCs w:val="28"/>
        </w:rPr>
        <w:t xml:space="preserve">/ПРГ заседания, состоявшегося  </w:t>
      </w:r>
      <w:r w:rsidR="00CD2B4A" w:rsidRPr="005013E9">
        <w:rPr>
          <w:szCs w:val="28"/>
        </w:rPr>
        <w:t>22</w:t>
      </w:r>
      <w:r w:rsidR="00CD2B4A" w:rsidRPr="00CD2B4A">
        <w:rPr>
          <w:szCs w:val="28"/>
        </w:rPr>
        <w:t xml:space="preserve"> </w:t>
      </w:r>
      <w:r w:rsidRPr="00CD2B4A">
        <w:rPr>
          <w:szCs w:val="28"/>
        </w:rPr>
        <w:t>ноября 2013 г</w:t>
      </w:r>
      <w:r w:rsidRPr="00B8231E">
        <w:rPr>
          <w:szCs w:val="28"/>
        </w:rPr>
        <w:t>.), и</w:t>
      </w:r>
      <w:r w:rsidRPr="00D02697">
        <w:rPr>
          <w:szCs w:val="28"/>
        </w:rPr>
        <w:t xml:space="preserve"> в соответствии с пунктом 141 и подпунктом 4 пункта</w:t>
      </w:r>
      <w:r>
        <w:rPr>
          <w:szCs w:val="28"/>
        </w:rPr>
        <w:t xml:space="preserve"> </w:t>
      </w:r>
      <w:r w:rsidRPr="00D02697">
        <w:rPr>
          <w:szCs w:val="28"/>
        </w:rPr>
        <w:t xml:space="preserve">318 Положения о закупках </w:t>
      </w:r>
      <w:r w:rsidRPr="00973090">
        <w:rPr>
          <w:szCs w:val="28"/>
        </w:rPr>
        <w:t xml:space="preserve">принять </w:t>
      </w:r>
      <w:proofErr w:type="gramStart"/>
      <w:r w:rsidRPr="00973090">
        <w:rPr>
          <w:szCs w:val="28"/>
        </w:rPr>
        <w:t>решение</w:t>
      </w:r>
      <w:proofErr w:type="gramEnd"/>
      <w:r w:rsidRPr="00973090">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t xml:space="preserve">ООО «Транспорт </w:t>
      </w:r>
      <w:proofErr w:type="spellStart"/>
      <w:r>
        <w:t>девелопмент</w:t>
      </w:r>
      <w:proofErr w:type="spellEnd"/>
      <w:r>
        <w:t xml:space="preserve"> групп»</w:t>
      </w:r>
      <w:r w:rsidR="00216964">
        <w:t xml:space="preserve"> </w:t>
      </w:r>
      <w:r w:rsidRPr="00973090">
        <w:rPr>
          <w:szCs w:val="28"/>
        </w:rPr>
        <w:t>на следующих условиях:</w:t>
      </w:r>
    </w:p>
    <w:p w:rsidR="00216964" w:rsidRPr="00216964" w:rsidRDefault="00216964" w:rsidP="00230CF8">
      <w:pPr>
        <w:ind w:firstLine="642"/>
        <w:jc w:val="both"/>
        <w:rPr>
          <w:szCs w:val="28"/>
        </w:rPr>
      </w:pPr>
      <w:r w:rsidRPr="00216964">
        <w:rPr>
          <w:b/>
          <w:szCs w:val="28"/>
        </w:rPr>
        <w:t>Предмет договора:</w:t>
      </w:r>
      <w:r w:rsidRPr="00216964">
        <w:rPr>
          <w:szCs w:val="28"/>
        </w:rPr>
        <w:t xml:space="preserve"> оказание  комплекса информационных услуг и услуг таможенного представителя</w:t>
      </w:r>
      <w:r w:rsidRPr="00230CF8">
        <w:rPr>
          <w:szCs w:val="28"/>
        </w:rPr>
        <w:t>.</w:t>
      </w:r>
    </w:p>
    <w:p w:rsidR="00216964" w:rsidRPr="00230CF8" w:rsidRDefault="00216964" w:rsidP="00230CF8">
      <w:pPr>
        <w:ind w:firstLine="642"/>
        <w:jc w:val="both"/>
        <w:rPr>
          <w:szCs w:val="28"/>
        </w:rPr>
      </w:pPr>
      <w:r w:rsidRPr="00216964">
        <w:rPr>
          <w:b/>
          <w:szCs w:val="28"/>
        </w:rPr>
        <w:t>Стоимость оказываемых услуг</w:t>
      </w:r>
      <w:r w:rsidRPr="00216964">
        <w:rPr>
          <w:b/>
          <w:snapToGrid w:val="0"/>
          <w:szCs w:val="28"/>
        </w:rPr>
        <w:t>:</w:t>
      </w:r>
      <w:r w:rsidRPr="00216964">
        <w:rPr>
          <w:szCs w:val="28"/>
        </w:rPr>
        <w:t xml:space="preserve"> приведена в </w:t>
      </w:r>
      <w:r w:rsidRPr="00230CF8">
        <w:rPr>
          <w:szCs w:val="28"/>
        </w:rPr>
        <w:t>П</w:t>
      </w:r>
      <w:r w:rsidRPr="00216964">
        <w:rPr>
          <w:szCs w:val="28"/>
        </w:rPr>
        <w:t>риложении № 1 к настоящему Протоколу.</w:t>
      </w:r>
      <w:r w:rsidRPr="00230CF8">
        <w:rPr>
          <w:snapToGrid w:val="0"/>
          <w:szCs w:val="28"/>
        </w:rPr>
        <w:t xml:space="preserve"> </w:t>
      </w:r>
      <w:r w:rsidRPr="00230CF8">
        <w:rPr>
          <w:szCs w:val="28"/>
        </w:rPr>
        <w:t xml:space="preserve">Исполнитель вправе увеличить в процессе исполнения договора цену на услуги, предусмотренные договором, но не более чем на 10 (десять) процентов в год. Увеличение указанной цены возможно не ранее 6 месяцев с даты заключения договора. </w:t>
      </w:r>
    </w:p>
    <w:p w:rsidR="00CD2B4A" w:rsidRDefault="00CD2B4A" w:rsidP="00230CF8">
      <w:pPr>
        <w:ind w:firstLine="642"/>
        <w:jc w:val="both"/>
        <w:rPr>
          <w:b/>
          <w:szCs w:val="28"/>
        </w:rPr>
      </w:pPr>
      <w:r>
        <w:rPr>
          <w:b/>
          <w:szCs w:val="28"/>
        </w:rPr>
        <w:t xml:space="preserve">Максимальная цена договора: </w:t>
      </w:r>
      <w:r w:rsidRPr="0004200E">
        <w:t>228 000</w:t>
      </w:r>
      <w:r>
        <w:rPr>
          <w:lang w:val="en-US"/>
        </w:rPr>
        <w:t> </w:t>
      </w:r>
      <w:r>
        <w:t>000 руб. (двести двадцать восемь миллионов рублей) без учета НДС.</w:t>
      </w:r>
      <w:r w:rsidR="00B8231E">
        <w:t xml:space="preserve"> НДС по ставке 18% начисляется отдельно.</w:t>
      </w:r>
    </w:p>
    <w:p w:rsidR="00216964" w:rsidRPr="00230CF8" w:rsidRDefault="00216964" w:rsidP="00230CF8">
      <w:pPr>
        <w:ind w:firstLine="642"/>
        <w:jc w:val="both"/>
        <w:rPr>
          <w:szCs w:val="28"/>
        </w:rPr>
      </w:pPr>
      <w:r w:rsidRPr="00230CF8">
        <w:rPr>
          <w:b/>
          <w:szCs w:val="28"/>
        </w:rPr>
        <w:t>Место оказания услуг:</w:t>
      </w:r>
      <w:r w:rsidRPr="00230CF8">
        <w:rPr>
          <w:szCs w:val="28"/>
        </w:rPr>
        <w:t xml:space="preserve"> </w:t>
      </w:r>
      <w:proofErr w:type="spellStart"/>
      <w:r w:rsidRPr="00230CF8">
        <w:rPr>
          <w:szCs w:val="28"/>
        </w:rPr>
        <w:t>пгт</w:t>
      </w:r>
      <w:proofErr w:type="spellEnd"/>
      <w:r w:rsidRPr="00230CF8">
        <w:rPr>
          <w:szCs w:val="28"/>
        </w:rPr>
        <w:t xml:space="preserve">. Забайкальск, г. Находка, г. Екатеринбург, </w:t>
      </w:r>
      <w:r w:rsidRPr="00230CF8">
        <w:rPr>
          <w:szCs w:val="28"/>
        </w:rPr>
        <w:br/>
        <w:t xml:space="preserve">г. Новосибирск, г. Нижний Новгород. Стороны вправе согласовать в договоре, заключенном по итогам открытого конкурса, в дополнение </w:t>
      </w:r>
      <w:proofErr w:type="gramStart"/>
      <w:r w:rsidRPr="00230CF8">
        <w:rPr>
          <w:szCs w:val="28"/>
        </w:rPr>
        <w:t>к</w:t>
      </w:r>
      <w:proofErr w:type="gramEnd"/>
      <w:r w:rsidRPr="00230CF8">
        <w:rPr>
          <w:szCs w:val="28"/>
        </w:rPr>
        <w:t xml:space="preserve"> вышеуказанным, другие места оказания услуг.</w:t>
      </w:r>
    </w:p>
    <w:p w:rsidR="00216964" w:rsidRPr="00230CF8" w:rsidRDefault="00216964" w:rsidP="00230CF8">
      <w:pPr>
        <w:ind w:firstLine="642"/>
        <w:jc w:val="both"/>
        <w:rPr>
          <w:szCs w:val="28"/>
        </w:rPr>
      </w:pPr>
      <w:r w:rsidRPr="00230CF8">
        <w:rPr>
          <w:b/>
          <w:szCs w:val="28"/>
        </w:rPr>
        <w:t xml:space="preserve">Условия оплаты за оказанные услуги: </w:t>
      </w:r>
      <w:r w:rsidRPr="00230CF8">
        <w:rPr>
          <w:szCs w:val="28"/>
        </w:rPr>
        <w:t xml:space="preserve">оплата </w:t>
      </w:r>
      <w:r w:rsidR="00DB64F6">
        <w:rPr>
          <w:szCs w:val="28"/>
        </w:rPr>
        <w:t xml:space="preserve">услуг </w:t>
      </w:r>
      <w:r w:rsidRPr="00230CF8">
        <w:rPr>
          <w:szCs w:val="28"/>
        </w:rPr>
        <w:t xml:space="preserve">производится ежемесячно </w:t>
      </w:r>
      <w:r w:rsidR="00A730DF">
        <w:rPr>
          <w:szCs w:val="28"/>
        </w:rPr>
        <w:t>в течение</w:t>
      </w:r>
      <w:r w:rsidRPr="00230CF8">
        <w:rPr>
          <w:szCs w:val="28"/>
        </w:rPr>
        <w:t xml:space="preserve"> 30 календарных дней </w:t>
      </w:r>
      <w:r w:rsidR="00A730DF">
        <w:rPr>
          <w:szCs w:val="28"/>
        </w:rPr>
        <w:t>с даты</w:t>
      </w:r>
      <w:r w:rsidR="00A730DF" w:rsidRPr="00230CF8">
        <w:rPr>
          <w:szCs w:val="28"/>
        </w:rPr>
        <w:t xml:space="preserve"> </w:t>
      </w:r>
      <w:r w:rsidRPr="00230CF8">
        <w:rPr>
          <w:szCs w:val="28"/>
        </w:rPr>
        <w:t xml:space="preserve">подписания акта </w:t>
      </w:r>
      <w:r w:rsidR="00DB64F6">
        <w:rPr>
          <w:szCs w:val="28"/>
        </w:rPr>
        <w:t xml:space="preserve">сдачи-приемки </w:t>
      </w:r>
      <w:r w:rsidRPr="00230CF8">
        <w:rPr>
          <w:szCs w:val="28"/>
        </w:rPr>
        <w:t xml:space="preserve"> оказанных услуг. </w:t>
      </w:r>
    </w:p>
    <w:p w:rsidR="005E5C59" w:rsidRDefault="00216964" w:rsidP="005E5C59">
      <w:pPr>
        <w:ind w:firstLine="642"/>
        <w:jc w:val="both"/>
        <w:rPr>
          <w:b/>
          <w:szCs w:val="28"/>
        </w:rPr>
      </w:pPr>
      <w:r w:rsidRPr="00216964">
        <w:rPr>
          <w:b/>
          <w:szCs w:val="28"/>
        </w:rPr>
        <w:t xml:space="preserve">Срок оказания услуг: </w:t>
      </w:r>
      <w:r w:rsidR="005E5C59" w:rsidRPr="00216964">
        <w:rPr>
          <w:szCs w:val="28"/>
        </w:rPr>
        <w:t>с даты подписания договора сторонами</w:t>
      </w:r>
      <w:r w:rsidR="005E5C59">
        <w:rPr>
          <w:szCs w:val="28"/>
        </w:rPr>
        <w:t xml:space="preserve"> </w:t>
      </w:r>
      <w:r w:rsidR="005E5C59" w:rsidRPr="00230CF8">
        <w:rPr>
          <w:szCs w:val="28"/>
        </w:rPr>
        <w:t>д</w:t>
      </w:r>
      <w:r w:rsidR="005E5C59" w:rsidRPr="00216964">
        <w:rPr>
          <w:szCs w:val="28"/>
        </w:rPr>
        <w:t>о 31.12.2016</w:t>
      </w:r>
      <w:r w:rsidR="005E5C59" w:rsidRPr="00230CF8">
        <w:rPr>
          <w:szCs w:val="28"/>
        </w:rPr>
        <w:t>.</w:t>
      </w:r>
    </w:p>
    <w:p w:rsidR="00216964" w:rsidRPr="00216964" w:rsidRDefault="00216964" w:rsidP="00230CF8">
      <w:pPr>
        <w:ind w:firstLine="642"/>
        <w:jc w:val="both"/>
        <w:rPr>
          <w:b/>
          <w:szCs w:val="28"/>
        </w:rPr>
      </w:pPr>
      <w:r w:rsidRPr="00216964">
        <w:rPr>
          <w:b/>
          <w:szCs w:val="28"/>
        </w:rPr>
        <w:t>Срок действия договора:</w:t>
      </w:r>
      <w:r w:rsidRPr="00216964">
        <w:rPr>
          <w:szCs w:val="28"/>
        </w:rPr>
        <w:t xml:space="preserve"> с </w:t>
      </w:r>
      <w:r w:rsidR="00FD5AC6">
        <w:rPr>
          <w:szCs w:val="28"/>
        </w:rPr>
        <w:t>16.12.2013</w:t>
      </w:r>
      <w:r w:rsidR="005E5C59">
        <w:rPr>
          <w:szCs w:val="28"/>
        </w:rPr>
        <w:t xml:space="preserve"> </w:t>
      </w:r>
      <w:r w:rsidRPr="00230CF8">
        <w:rPr>
          <w:szCs w:val="28"/>
        </w:rPr>
        <w:t>д</w:t>
      </w:r>
      <w:r w:rsidRPr="00216964">
        <w:rPr>
          <w:szCs w:val="28"/>
        </w:rPr>
        <w:t>о 31.12.2016</w:t>
      </w:r>
      <w:r w:rsidRPr="00230CF8">
        <w:rPr>
          <w:szCs w:val="28"/>
        </w:rPr>
        <w:t>.</w:t>
      </w:r>
    </w:p>
    <w:p w:rsidR="00216964" w:rsidRPr="00216964" w:rsidRDefault="00216964" w:rsidP="00216964">
      <w:pPr>
        <w:pStyle w:val="ad"/>
        <w:numPr>
          <w:ilvl w:val="0"/>
          <w:numId w:val="48"/>
        </w:numPr>
        <w:ind w:left="0" w:firstLine="709"/>
        <w:jc w:val="both"/>
        <w:rPr>
          <w:szCs w:val="28"/>
        </w:rPr>
      </w:pPr>
      <w:r w:rsidRPr="00216964">
        <w:rPr>
          <w:szCs w:val="28"/>
        </w:rPr>
        <w:t xml:space="preserve">Поручить </w:t>
      </w:r>
      <w:r>
        <w:rPr>
          <w:szCs w:val="28"/>
        </w:rPr>
        <w:t>начальнику отдела взаимодействия с таможней (ЦКПВТ) Бутенко С.А.</w:t>
      </w:r>
      <w:r w:rsidRPr="00216964">
        <w:rPr>
          <w:szCs w:val="28"/>
        </w:rPr>
        <w:t>:</w:t>
      </w:r>
    </w:p>
    <w:p w:rsidR="00216964" w:rsidRDefault="00216964" w:rsidP="00230CF8">
      <w:pPr>
        <w:ind w:firstLine="709"/>
        <w:jc w:val="both"/>
        <w:rPr>
          <w:szCs w:val="28"/>
        </w:rPr>
      </w:pPr>
      <w:r>
        <w:rPr>
          <w:szCs w:val="28"/>
        </w:rPr>
        <w:t xml:space="preserve">5.2 </w:t>
      </w:r>
      <w:r w:rsidRPr="00216964">
        <w:rPr>
          <w:szCs w:val="28"/>
        </w:rPr>
        <w:t>направить уведомление</w:t>
      </w:r>
      <w:r w:rsidRPr="00216964">
        <w:t xml:space="preserve"> </w:t>
      </w:r>
      <w:r>
        <w:t xml:space="preserve">ООО «Транспорт </w:t>
      </w:r>
      <w:proofErr w:type="spellStart"/>
      <w:r>
        <w:t>девелопмент</w:t>
      </w:r>
      <w:proofErr w:type="spellEnd"/>
      <w:r>
        <w:t xml:space="preserve"> групп»</w:t>
      </w:r>
      <w:r w:rsidRPr="00216964">
        <w:rPr>
          <w:szCs w:val="28"/>
        </w:rPr>
        <w:t xml:space="preserve"> о принятом Конкурсной комиссией ОАО «ТрансКонтейнер» решении с приглашением заключить договор;</w:t>
      </w:r>
    </w:p>
    <w:p w:rsidR="005D65BC" w:rsidRPr="00216964" w:rsidRDefault="00216964" w:rsidP="00230CF8">
      <w:pPr>
        <w:ind w:firstLine="709"/>
        <w:jc w:val="both"/>
        <w:rPr>
          <w:szCs w:val="28"/>
        </w:rPr>
      </w:pPr>
      <w:r>
        <w:rPr>
          <w:szCs w:val="28"/>
        </w:rPr>
        <w:t xml:space="preserve">5.1 </w:t>
      </w:r>
      <w:r w:rsidRPr="00216964">
        <w:rPr>
          <w:szCs w:val="28"/>
        </w:rPr>
        <w:t xml:space="preserve">обеспечить установленным порядком заключение договора с  </w:t>
      </w:r>
      <w:r w:rsidRPr="00216964">
        <w:rPr>
          <w:szCs w:val="28"/>
        </w:rPr>
        <w:br/>
      </w:r>
      <w:r>
        <w:t xml:space="preserve">ООО «Транспорт </w:t>
      </w:r>
      <w:proofErr w:type="spellStart"/>
      <w:r>
        <w:t>девелопмент</w:t>
      </w:r>
      <w:proofErr w:type="spellEnd"/>
      <w:r>
        <w:t xml:space="preserve"> групп»</w:t>
      </w:r>
      <w:r w:rsidRPr="00216964">
        <w:rPr>
          <w:color w:val="000000"/>
        </w:rPr>
        <w:t>.</w:t>
      </w:r>
    </w:p>
    <w:p w:rsidR="00646B44" w:rsidRPr="004679A3" w:rsidRDefault="00E815A6" w:rsidP="00230CF8">
      <w:pPr>
        <w:pStyle w:val="ad"/>
        <w:ind w:left="1428"/>
        <w:rPr>
          <w:b/>
          <w:szCs w:val="28"/>
        </w:rPr>
      </w:pPr>
      <w:r w:rsidRPr="00E815A6">
        <w:rPr>
          <w:bCs/>
        </w:rPr>
        <w:br/>
      </w:r>
    </w:p>
    <w:tbl>
      <w:tblPr>
        <w:tblStyle w:val="a8"/>
        <w:tblpPr w:leftFromText="180" w:rightFromText="180" w:vertAnchor="text" w:horzAnchor="margin" w:tblpY="-1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974435" w:rsidRPr="004679A3" w:rsidTr="00974435">
        <w:trPr>
          <w:trHeight w:val="903"/>
        </w:trPr>
        <w:tc>
          <w:tcPr>
            <w:tcW w:w="5778" w:type="dxa"/>
          </w:tcPr>
          <w:p w:rsidR="00974435" w:rsidRPr="007159BF" w:rsidRDefault="00974435" w:rsidP="00974435">
            <w:pPr>
              <w:pStyle w:val="a6"/>
              <w:tabs>
                <w:tab w:val="left" w:pos="0"/>
              </w:tabs>
              <w:rPr>
                <w:i w:val="0"/>
              </w:rPr>
            </w:pPr>
          </w:p>
          <w:p w:rsidR="00974435" w:rsidRPr="004679A3" w:rsidRDefault="00974435" w:rsidP="00974435">
            <w:pPr>
              <w:pStyle w:val="a6"/>
              <w:tabs>
                <w:tab w:val="left" w:pos="0"/>
              </w:tabs>
              <w:rPr>
                <w:i w:val="0"/>
              </w:rPr>
            </w:pPr>
            <w:r>
              <w:rPr>
                <w:i w:val="0"/>
              </w:rPr>
              <w:t>Заместитель п</w:t>
            </w:r>
            <w:r w:rsidRPr="004679A3">
              <w:rPr>
                <w:i w:val="0"/>
              </w:rPr>
              <w:t>редседател</w:t>
            </w:r>
            <w:r>
              <w:rPr>
                <w:i w:val="0"/>
              </w:rPr>
              <w:t>я</w:t>
            </w:r>
          </w:p>
          <w:p w:rsidR="00974435" w:rsidRPr="004679A3" w:rsidRDefault="00974435" w:rsidP="00974435">
            <w:pPr>
              <w:pStyle w:val="a6"/>
              <w:tabs>
                <w:tab w:val="left" w:pos="0"/>
              </w:tabs>
              <w:rPr>
                <w:i w:val="0"/>
              </w:rPr>
            </w:pPr>
            <w:r w:rsidRPr="004679A3">
              <w:rPr>
                <w:i w:val="0"/>
              </w:rPr>
              <w:t xml:space="preserve">Конкурсной комиссии                                                               </w:t>
            </w:r>
          </w:p>
          <w:p w:rsidR="00974435" w:rsidRPr="004679A3" w:rsidRDefault="00974435" w:rsidP="0097443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974435" w:rsidRPr="004679A3" w:rsidRDefault="00974435" w:rsidP="00974435">
            <w:pPr>
              <w:jc w:val="right"/>
              <w:rPr>
                <w:szCs w:val="28"/>
              </w:rPr>
            </w:pPr>
          </w:p>
          <w:p w:rsidR="00974435" w:rsidRPr="004679A3" w:rsidRDefault="00974435" w:rsidP="00974435">
            <w:pPr>
              <w:jc w:val="right"/>
              <w:rPr>
                <w:szCs w:val="28"/>
              </w:rPr>
            </w:pPr>
          </w:p>
        </w:tc>
      </w:tr>
      <w:tr w:rsidR="00974435" w:rsidRPr="004679A3" w:rsidTr="00974435">
        <w:tc>
          <w:tcPr>
            <w:tcW w:w="5778" w:type="dxa"/>
          </w:tcPr>
          <w:p w:rsidR="00974435" w:rsidRPr="004679A3" w:rsidRDefault="00974435" w:rsidP="00974435">
            <w:pPr>
              <w:jc w:val="both"/>
              <w:rPr>
                <w:szCs w:val="28"/>
              </w:rPr>
            </w:pPr>
          </w:p>
          <w:p w:rsidR="00974435" w:rsidRDefault="00974435" w:rsidP="00974435">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974435" w:rsidRDefault="00974435" w:rsidP="00974435">
            <w:pPr>
              <w:pStyle w:val="a6"/>
              <w:tabs>
                <w:tab w:val="left" w:pos="0"/>
              </w:tabs>
            </w:pPr>
            <w:r w:rsidRPr="00CF45A9">
              <w:rPr>
                <w:i w:val="0"/>
              </w:rPr>
              <w:t>«</w:t>
            </w:r>
            <w:r>
              <w:rPr>
                <w:i w:val="0"/>
                <w:lang w:val="en-US"/>
              </w:rPr>
              <w:t>29</w:t>
            </w:r>
            <w:r w:rsidRPr="00CF45A9">
              <w:rPr>
                <w:i w:val="0"/>
              </w:rPr>
              <w:t xml:space="preserve">» </w:t>
            </w:r>
            <w:r>
              <w:rPr>
                <w:i w:val="0"/>
              </w:rPr>
              <w:t>но</w:t>
            </w:r>
            <w:r w:rsidRPr="00CF45A9">
              <w:rPr>
                <w:i w:val="0"/>
              </w:rPr>
              <w:t>ября 2013 год</w:t>
            </w:r>
          </w:p>
        </w:tc>
        <w:tc>
          <w:tcPr>
            <w:tcW w:w="4111" w:type="dxa"/>
          </w:tcPr>
          <w:p w:rsidR="00974435" w:rsidRPr="004679A3" w:rsidRDefault="00974435" w:rsidP="00974435">
            <w:pPr>
              <w:jc w:val="right"/>
              <w:rPr>
                <w:szCs w:val="28"/>
              </w:rPr>
            </w:pPr>
          </w:p>
          <w:p w:rsidR="00974435" w:rsidRPr="004679A3" w:rsidRDefault="00974435" w:rsidP="00974435">
            <w:pPr>
              <w:jc w:val="right"/>
              <w:rPr>
                <w:szCs w:val="28"/>
              </w:rPr>
            </w:pPr>
          </w:p>
        </w:tc>
      </w:tr>
    </w:tbl>
    <w:p w:rsidR="00D02697" w:rsidRDefault="00082882" w:rsidP="008A6402">
      <w:pPr>
        <w:jc w:val="right"/>
        <w:rPr>
          <w:sz w:val="26"/>
          <w:szCs w:val="26"/>
        </w:rPr>
        <w:sectPr w:rsidR="00D02697" w:rsidSect="002070BB">
          <w:headerReference w:type="default" r:id="rId9"/>
          <w:type w:val="continuous"/>
          <w:pgSz w:w="11906" w:h="16838"/>
          <w:pgMar w:top="992" w:right="851" w:bottom="709" w:left="1418" w:header="567" w:footer="567" w:gutter="0"/>
          <w:cols w:space="708"/>
          <w:titlePg/>
          <w:docGrid w:linePitch="381"/>
        </w:sectPr>
      </w:pPr>
      <w:r>
        <w:rPr>
          <w:sz w:val="26"/>
          <w:szCs w:val="26"/>
        </w:rPr>
        <w:br w:type="page"/>
      </w:r>
    </w:p>
    <w:p w:rsidR="001709C5" w:rsidRPr="00D02697" w:rsidRDefault="001709C5" w:rsidP="008A6402">
      <w:pPr>
        <w:jc w:val="right"/>
        <w:rPr>
          <w:sz w:val="22"/>
          <w:szCs w:val="22"/>
        </w:rPr>
      </w:pPr>
      <w:r w:rsidRPr="00D02697">
        <w:rPr>
          <w:sz w:val="22"/>
          <w:szCs w:val="22"/>
        </w:rPr>
        <w:lastRenderedPageBreak/>
        <w:t>Приложение № 1</w:t>
      </w:r>
    </w:p>
    <w:p w:rsidR="001709C5" w:rsidRPr="00D02697" w:rsidRDefault="001709C5" w:rsidP="001709C5">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F637C9" w:rsidRPr="00D02697">
        <w:rPr>
          <w:bCs/>
          <w:sz w:val="22"/>
          <w:szCs w:val="22"/>
        </w:rPr>
        <w:t>4</w:t>
      </w:r>
      <w:r w:rsidR="00216964">
        <w:rPr>
          <w:bCs/>
          <w:sz w:val="22"/>
          <w:szCs w:val="22"/>
        </w:rPr>
        <w:t>6</w:t>
      </w:r>
      <w:r w:rsidRPr="00D02697">
        <w:rPr>
          <w:sz w:val="22"/>
          <w:szCs w:val="22"/>
        </w:rPr>
        <w:t>/КК</w:t>
      </w:r>
    </w:p>
    <w:p w:rsidR="001709C5" w:rsidRPr="00D02697" w:rsidRDefault="001709C5" w:rsidP="001709C5">
      <w:pPr>
        <w:jc w:val="right"/>
        <w:outlineLvl w:val="0"/>
        <w:rPr>
          <w:bCs/>
          <w:sz w:val="22"/>
          <w:szCs w:val="22"/>
        </w:rPr>
      </w:pPr>
      <w:r w:rsidRPr="00D02697">
        <w:rPr>
          <w:bCs/>
          <w:sz w:val="22"/>
          <w:szCs w:val="22"/>
        </w:rPr>
        <w:t>заседания Конкурсной комиссии</w:t>
      </w:r>
    </w:p>
    <w:p w:rsidR="001709C5" w:rsidRPr="00D02697" w:rsidRDefault="001709C5" w:rsidP="001709C5">
      <w:pPr>
        <w:jc w:val="right"/>
        <w:rPr>
          <w:sz w:val="22"/>
          <w:szCs w:val="22"/>
        </w:rPr>
      </w:pPr>
      <w:r w:rsidRPr="00D02697">
        <w:rPr>
          <w:sz w:val="22"/>
          <w:szCs w:val="22"/>
        </w:rPr>
        <w:t>открытого акционерного общества</w:t>
      </w:r>
    </w:p>
    <w:p w:rsidR="001709C5" w:rsidRPr="00D02697" w:rsidRDefault="001709C5" w:rsidP="001709C5">
      <w:pPr>
        <w:jc w:val="right"/>
        <w:rPr>
          <w:sz w:val="22"/>
          <w:szCs w:val="22"/>
        </w:rPr>
      </w:pPr>
      <w:r w:rsidRPr="00D02697">
        <w:rPr>
          <w:sz w:val="22"/>
          <w:szCs w:val="22"/>
        </w:rPr>
        <w:t>«Центр по перевозке грузов в контейнерах «ТрансКонтейнер»,</w:t>
      </w:r>
    </w:p>
    <w:p w:rsidR="001709C5" w:rsidRPr="00D02697" w:rsidRDefault="001709C5" w:rsidP="001709C5">
      <w:pPr>
        <w:jc w:val="right"/>
        <w:rPr>
          <w:sz w:val="22"/>
          <w:szCs w:val="22"/>
        </w:rPr>
      </w:pPr>
      <w:r w:rsidRPr="00D02697">
        <w:rPr>
          <w:sz w:val="22"/>
          <w:szCs w:val="22"/>
        </w:rPr>
        <w:t xml:space="preserve">состоявшегося </w:t>
      </w:r>
      <w:r w:rsidR="00F637C9">
        <w:rPr>
          <w:sz w:val="22"/>
          <w:szCs w:val="22"/>
        </w:rPr>
        <w:t xml:space="preserve"> 2</w:t>
      </w:r>
      <w:r w:rsidR="00216964">
        <w:rPr>
          <w:sz w:val="22"/>
          <w:szCs w:val="22"/>
        </w:rPr>
        <w:t>6</w:t>
      </w:r>
      <w:r w:rsidR="00F637C9" w:rsidRPr="00D02697">
        <w:rPr>
          <w:sz w:val="22"/>
          <w:szCs w:val="22"/>
        </w:rPr>
        <w:t xml:space="preserve"> </w:t>
      </w:r>
      <w:r w:rsidR="00D02697" w:rsidRPr="00D02697">
        <w:rPr>
          <w:sz w:val="22"/>
          <w:szCs w:val="22"/>
        </w:rPr>
        <w:t xml:space="preserve">ноября </w:t>
      </w:r>
      <w:r w:rsidRPr="00D02697">
        <w:rPr>
          <w:sz w:val="22"/>
          <w:szCs w:val="22"/>
        </w:rPr>
        <w:t>2013 года</w:t>
      </w:r>
    </w:p>
    <w:p w:rsidR="00D57486" w:rsidRPr="004679A3" w:rsidRDefault="00D57486" w:rsidP="00B165D3">
      <w:pPr>
        <w:jc w:val="center"/>
        <w:rPr>
          <w:sz w:val="26"/>
          <w:szCs w:val="26"/>
        </w:rPr>
      </w:pPr>
    </w:p>
    <w:p w:rsidR="00216964" w:rsidRPr="00216964" w:rsidRDefault="00216964" w:rsidP="00216964">
      <w:pPr>
        <w:rPr>
          <w:b/>
          <w:snapToGrid w:val="0"/>
          <w:sz w:val="24"/>
          <w:szCs w:val="24"/>
        </w:rPr>
      </w:pPr>
    </w:p>
    <w:p w:rsidR="00216964" w:rsidRPr="00216964" w:rsidRDefault="00216964" w:rsidP="00216964">
      <w:pPr>
        <w:jc w:val="center"/>
        <w:rPr>
          <w:b/>
          <w:snapToGrid w:val="0"/>
          <w:sz w:val="24"/>
          <w:szCs w:val="24"/>
        </w:rPr>
      </w:pPr>
      <w:r w:rsidRPr="00216964">
        <w:rPr>
          <w:b/>
          <w:snapToGrid w:val="0"/>
          <w:sz w:val="24"/>
          <w:szCs w:val="24"/>
        </w:rPr>
        <w:t>Стоимость информационных услуг и услуг таможенного представителя</w:t>
      </w:r>
    </w:p>
    <w:p w:rsidR="00216964" w:rsidRPr="00216964" w:rsidRDefault="00216964" w:rsidP="00216964">
      <w:pPr>
        <w:jc w:val="center"/>
        <w:rPr>
          <w:b/>
          <w:snapToGrid w:val="0"/>
          <w:sz w:val="24"/>
          <w:szCs w:val="24"/>
        </w:rPr>
      </w:pPr>
    </w:p>
    <w:tbl>
      <w:tblPr>
        <w:tblW w:w="9757" w:type="dxa"/>
        <w:tblInd w:w="-10" w:type="dxa"/>
        <w:tblLayout w:type="fixed"/>
        <w:tblLook w:val="0000"/>
      </w:tblPr>
      <w:tblGrid>
        <w:gridCol w:w="582"/>
        <w:gridCol w:w="6482"/>
        <w:gridCol w:w="2693"/>
      </w:tblGrid>
      <w:tr w:rsidR="00216964" w:rsidRPr="00216964" w:rsidTr="00C20F20">
        <w:tc>
          <w:tcPr>
            <w:tcW w:w="582" w:type="dxa"/>
            <w:tcBorders>
              <w:top w:val="single" w:sz="8" w:space="0" w:color="000000"/>
              <w:left w:val="single" w:sz="8" w:space="0" w:color="000000"/>
              <w:bottom w:val="single" w:sz="8" w:space="0" w:color="000000"/>
              <w:right w:val="single" w:sz="4" w:space="0" w:color="auto"/>
            </w:tcBorders>
            <w:shd w:val="clear" w:color="auto" w:fill="FFFFFF"/>
          </w:tcPr>
          <w:p w:rsidR="00216964" w:rsidRPr="00216964" w:rsidRDefault="00216964" w:rsidP="00216964">
            <w:pPr>
              <w:suppressAutoHyphens/>
              <w:jc w:val="both"/>
              <w:rPr>
                <w:b/>
                <w:kern w:val="1"/>
                <w:sz w:val="22"/>
                <w:szCs w:val="22"/>
                <w:lang w:eastAsia="ar-SA"/>
              </w:rPr>
            </w:pPr>
            <w:r w:rsidRPr="00216964">
              <w:rPr>
                <w:b/>
                <w:kern w:val="1"/>
                <w:sz w:val="22"/>
                <w:szCs w:val="22"/>
                <w:lang w:eastAsia="ar-SA"/>
              </w:rPr>
              <w:t>№</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uppressAutoHyphens/>
              <w:jc w:val="center"/>
              <w:rPr>
                <w:b/>
                <w:kern w:val="1"/>
                <w:sz w:val="22"/>
                <w:szCs w:val="22"/>
                <w:lang w:eastAsia="ar-SA"/>
              </w:rPr>
            </w:pPr>
            <w:r w:rsidRPr="00216964">
              <w:rPr>
                <w:b/>
                <w:kern w:val="1"/>
                <w:sz w:val="22"/>
                <w:szCs w:val="22"/>
                <w:lang w:eastAsia="ar-SA"/>
              </w:rPr>
              <w:t>Наименование услуги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uppressAutoHyphens/>
              <w:jc w:val="center"/>
              <w:rPr>
                <w:b/>
                <w:kern w:val="1"/>
                <w:sz w:val="22"/>
                <w:szCs w:val="22"/>
                <w:lang w:eastAsia="ar-SA"/>
              </w:rPr>
            </w:pPr>
            <w:r w:rsidRPr="00216964">
              <w:rPr>
                <w:b/>
                <w:kern w:val="1"/>
                <w:sz w:val="22"/>
                <w:szCs w:val="22"/>
                <w:lang w:eastAsia="ar-SA"/>
              </w:rPr>
              <w:t>Цена за услугу в руб., без учета НДС</w:t>
            </w:r>
          </w:p>
        </w:tc>
      </w:tr>
      <w:tr w:rsidR="00216964" w:rsidRPr="00216964" w:rsidTr="00C20F20">
        <w:trPr>
          <w:trHeight w:val="1245"/>
        </w:trPr>
        <w:tc>
          <w:tcPr>
            <w:tcW w:w="582" w:type="dxa"/>
            <w:tcBorders>
              <w:top w:val="single" w:sz="8" w:space="0" w:color="000000"/>
              <w:left w:val="single" w:sz="8" w:space="0" w:color="000000"/>
              <w:bottom w:val="single" w:sz="4" w:space="0" w:color="auto"/>
              <w:right w:val="single" w:sz="4" w:space="0" w:color="auto"/>
            </w:tcBorders>
            <w:shd w:val="clear" w:color="auto" w:fill="FFFFFF"/>
          </w:tcPr>
          <w:p w:rsidR="00216964" w:rsidRPr="00216964" w:rsidRDefault="00216964" w:rsidP="00216964">
            <w:pPr>
              <w:suppressAutoHyphens/>
              <w:jc w:val="both"/>
              <w:rPr>
                <w:kern w:val="1"/>
                <w:sz w:val="22"/>
                <w:szCs w:val="22"/>
                <w:lang w:eastAsia="ar-SA"/>
              </w:rPr>
            </w:pPr>
            <w:r w:rsidRPr="00216964">
              <w:rPr>
                <w:kern w:val="1"/>
                <w:sz w:val="22"/>
                <w:szCs w:val="22"/>
                <w:lang w:eastAsia="ar-SA"/>
              </w:rPr>
              <w:t>1.</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jc w:val="both"/>
              <w:rPr>
                <w:snapToGrid w:val="0"/>
                <w:sz w:val="22"/>
                <w:szCs w:val="22"/>
              </w:rPr>
            </w:pPr>
            <w:r w:rsidRPr="00216964">
              <w:rPr>
                <w:snapToGrid w:val="0"/>
                <w:sz w:val="22"/>
                <w:szCs w:val="22"/>
              </w:rPr>
              <w:t xml:space="preserve">Предварительная проверка и формализация документов (см. часть 1 </w:t>
            </w:r>
            <w:proofErr w:type="spellStart"/>
            <w:r w:rsidRPr="00216964">
              <w:rPr>
                <w:snapToGrid w:val="0"/>
                <w:sz w:val="22"/>
                <w:szCs w:val="22"/>
              </w:rPr>
              <w:t>пп</w:t>
            </w:r>
            <w:proofErr w:type="spellEnd"/>
            <w:r w:rsidRPr="00216964">
              <w:rPr>
                <w:snapToGrid w:val="0"/>
                <w:sz w:val="22"/>
                <w:szCs w:val="22"/>
              </w:rPr>
              <w:t>. 2.7.2 документации о закупке) для предоставления таможенным органам ПИ в электронном виде в порядке, определенном нормативными документами ТС и ФТС России (единица измерения – контейнер, вагон, товарная партия);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ind w:firstLine="709"/>
              <w:jc w:val="both"/>
              <w:rPr>
                <w:snapToGrid w:val="0"/>
                <w:sz w:val="22"/>
                <w:szCs w:val="22"/>
              </w:rPr>
            </w:pPr>
            <w:r w:rsidRPr="00216964">
              <w:rPr>
                <w:snapToGrid w:val="0"/>
                <w:sz w:val="22"/>
                <w:szCs w:val="22"/>
              </w:rPr>
              <w:t>800,00</w:t>
            </w:r>
          </w:p>
        </w:tc>
      </w:tr>
      <w:tr w:rsidR="00216964" w:rsidRPr="00216964" w:rsidTr="00C20F20">
        <w:trPr>
          <w:trHeight w:val="1275"/>
        </w:trPr>
        <w:tc>
          <w:tcPr>
            <w:tcW w:w="582" w:type="dxa"/>
            <w:tcBorders>
              <w:top w:val="single" w:sz="4" w:space="0" w:color="auto"/>
              <w:left w:val="single" w:sz="8" w:space="0" w:color="000000"/>
              <w:bottom w:val="single" w:sz="4" w:space="0" w:color="auto"/>
              <w:right w:val="single" w:sz="4" w:space="0" w:color="auto"/>
            </w:tcBorders>
            <w:shd w:val="clear" w:color="auto" w:fill="FFFFFF"/>
          </w:tcPr>
          <w:p w:rsidR="00216964" w:rsidRPr="00216964" w:rsidRDefault="00216964" w:rsidP="00216964">
            <w:pPr>
              <w:suppressAutoHyphens/>
              <w:jc w:val="both"/>
              <w:rPr>
                <w:kern w:val="1"/>
                <w:sz w:val="22"/>
                <w:szCs w:val="22"/>
                <w:lang w:eastAsia="ar-SA"/>
              </w:rPr>
            </w:pPr>
            <w:r w:rsidRPr="00216964">
              <w:rPr>
                <w:kern w:val="1"/>
                <w:sz w:val="22"/>
                <w:szCs w:val="22"/>
                <w:lang w:eastAsia="ar-SA"/>
              </w:rPr>
              <w:t>2.</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jc w:val="both"/>
              <w:rPr>
                <w:snapToGrid w:val="0"/>
                <w:sz w:val="22"/>
                <w:szCs w:val="22"/>
              </w:rPr>
            </w:pPr>
            <w:r w:rsidRPr="00216964">
              <w:rPr>
                <w:snapToGrid w:val="0"/>
                <w:sz w:val="22"/>
                <w:szCs w:val="22"/>
              </w:rPr>
              <w:t>Формирование электронного вида транзитной декларации, описи коммерческих и транспортных документов и помещение товаров под таможенную процедуру таможенного транзита от имени Заказчика</w:t>
            </w:r>
            <w:proofErr w:type="gramStart"/>
            <w:r w:rsidRPr="00216964">
              <w:rPr>
                <w:snapToGrid w:val="0"/>
                <w:sz w:val="22"/>
                <w:szCs w:val="22"/>
              </w:rPr>
              <w:t>.</w:t>
            </w:r>
            <w:proofErr w:type="gramEnd"/>
            <w:r w:rsidRPr="00216964">
              <w:rPr>
                <w:snapToGrid w:val="0"/>
                <w:sz w:val="22"/>
                <w:szCs w:val="22"/>
              </w:rPr>
              <w:t xml:space="preserve">  (</w:t>
            </w:r>
            <w:proofErr w:type="gramStart"/>
            <w:r w:rsidRPr="00216964">
              <w:rPr>
                <w:snapToGrid w:val="0"/>
                <w:sz w:val="22"/>
                <w:szCs w:val="22"/>
              </w:rPr>
              <w:t>е</w:t>
            </w:r>
            <w:proofErr w:type="gramEnd"/>
            <w:r w:rsidRPr="00216964">
              <w:rPr>
                <w:snapToGrid w:val="0"/>
                <w:sz w:val="22"/>
                <w:szCs w:val="22"/>
              </w:rPr>
              <w:t>диница измерения – контейнер, вагон, товарная партия);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ind w:firstLine="709"/>
              <w:jc w:val="center"/>
              <w:rPr>
                <w:snapToGrid w:val="0"/>
                <w:sz w:val="22"/>
                <w:szCs w:val="22"/>
              </w:rPr>
            </w:pPr>
            <w:r w:rsidRPr="00216964">
              <w:rPr>
                <w:snapToGrid w:val="0"/>
                <w:sz w:val="22"/>
                <w:szCs w:val="22"/>
              </w:rPr>
              <w:t>60% от ставок договорных сборов, установленных (устанавливаемых)</w:t>
            </w:r>
          </w:p>
          <w:p w:rsidR="00216964" w:rsidRPr="00216964" w:rsidRDefault="00216964" w:rsidP="00216964">
            <w:pPr>
              <w:shd w:val="clear" w:color="auto" w:fill="FFFFFF"/>
              <w:tabs>
                <w:tab w:val="left" w:pos="709"/>
              </w:tabs>
              <w:ind w:firstLine="709"/>
              <w:jc w:val="center"/>
              <w:rPr>
                <w:snapToGrid w:val="0"/>
                <w:sz w:val="22"/>
                <w:szCs w:val="22"/>
              </w:rPr>
            </w:pPr>
            <w:r w:rsidRPr="00216964">
              <w:rPr>
                <w:snapToGrid w:val="0"/>
                <w:sz w:val="22"/>
                <w:szCs w:val="22"/>
              </w:rPr>
              <w:t>ОАО «РЖД»</w:t>
            </w:r>
          </w:p>
        </w:tc>
      </w:tr>
      <w:tr w:rsidR="00216964" w:rsidRPr="00216964" w:rsidTr="00C20F20">
        <w:trPr>
          <w:trHeight w:val="1011"/>
        </w:trPr>
        <w:tc>
          <w:tcPr>
            <w:tcW w:w="582" w:type="dxa"/>
            <w:tcBorders>
              <w:top w:val="single" w:sz="4" w:space="0" w:color="auto"/>
              <w:left w:val="single" w:sz="8" w:space="0" w:color="000000"/>
              <w:bottom w:val="single" w:sz="4" w:space="0" w:color="auto"/>
              <w:right w:val="single" w:sz="4" w:space="0" w:color="auto"/>
            </w:tcBorders>
            <w:shd w:val="clear" w:color="auto" w:fill="FFFFFF"/>
          </w:tcPr>
          <w:p w:rsidR="00216964" w:rsidRPr="00216964" w:rsidRDefault="00216964" w:rsidP="00216964">
            <w:pPr>
              <w:suppressAutoHyphens/>
              <w:jc w:val="both"/>
              <w:rPr>
                <w:kern w:val="1"/>
                <w:sz w:val="22"/>
                <w:szCs w:val="22"/>
                <w:lang w:eastAsia="ar-SA"/>
              </w:rPr>
            </w:pPr>
            <w:r w:rsidRPr="00216964">
              <w:rPr>
                <w:kern w:val="1"/>
                <w:sz w:val="22"/>
                <w:szCs w:val="22"/>
                <w:lang w:eastAsia="ar-SA"/>
              </w:rPr>
              <w:t>3.</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jc w:val="both"/>
              <w:rPr>
                <w:snapToGrid w:val="0"/>
                <w:sz w:val="22"/>
                <w:szCs w:val="22"/>
              </w:rPr>
            </w:pPr>
            <w:r w:rsidRPr="00216964">
              <w:rPr>
                <w:snapToGrid w:val="0"/>
                <w:sz w:val="22"/>
                <w:szCs w:val="22"/>
              </w:rPr>
              <w:t>Формирование электронного вида отчетности СВХ Заказчика по формам ДО</w:t>
            </w:r>
            <w:proofErr w:type="gramStart"/>
            <w:r w:rsidRPr="00216964">
              <w:rPr>
                <w:snapToGrid w:val="0"/>
                <w:sz w:val="22"/>
                <w:szCs w:val="22"/>
              </w:rPr>
              <w:t>1</w:t>
            </w:r>
            <w:proofErr w:type="gramEnd"/>
            <w:r w:rsidRPr="00216964">
              <w:rPr>
                <w:snapToGrid w:val="0"/>
                <w:sz w:val="22"/>
                <w:szCs w:val="22"/>
              </w:rPr>
              <w:t>, ДО2, ДО3 и предоставление этой информации таможенным органам от имени Заказчика (единица измерения – контейнер, вагон, товарная партия);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ind w:firstLine="709"/>
              <w:rPr>
                <w:snapToGrid w:val="0"/>
                <w:sz w:val="22"/>
                <w:szCs w:val="22"/>
              </w:rPr>
            </w:pPr>
            <w:r w:rsidRPr="00216964">
              <w:rPr>
                <w:snapToGrid w:val="0"/>
                <w:sz w:val="22"/>
                <w:szCs w:val="22"/>
              </w:rPr>
              <w:t>260,00</w:t>
            </w:r>
          </w:p>
        </w:tc>
      </w:tr>
      <w:tr w:rsidR="00216964" w:rsidRPr="00216964" w:rsidTr="00C20F20">
        <w:trPr>
          <w:trHeight w:val="975"/>
        </w:trPr>
        <w:tc>
          <w:tcPr>
            <w:tcW w:w="582" w:type="dxa"/>
            <w:tcBorders>
              <w:top w:val="single" w:sz="4" w:space="0" w:color="auto"/>
              <w:left w:val="single" w:sz="8" w:space="0" w:color="000000"/>
              <w:bottom w:val="single" w:sz="4" w:space="0" w:color="auto"/>
              <w:right w:val="single" w:sz="4" w:space="0" w:color="auto"/>
            </w:tcBorders>
            <w:shd w:val="clear" w:color="auto" w:fill="FFFFFF"/>
          </w:tcPr>
          <w:p w:rsidR="00216964" w:rsidRPr="00216964" w:rsidRDefault="00216964" w:rsidP="00216964">
            <w:pPr>
              <w:suppressAutoHyphens/>
              <w:jc w:val="both"/>
              <w:rPr>
                <w:kern w:val="1"/>
                <w:sz w:val="22"/>
                <w:szCs w:val="22"/>
                <w:lang w:eastAsia="ar-SA"/>
              </w:rPr>
            </w:pPr>
            <w:r w:rsidRPr="00216964">
              <w:rPr>
                <w:kern w:val="1"/>
                <w:sz w:val="22"/>
                <w:szCs w:val="22"/>
                <w:lang w:eastAsia="ar-SA"/>
              </w:rPr>
              <w:t>4.</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jc w:val="both"/>
              <w:rPr>
                <w:snapToGrid w:val="0"/>
                <w:sz w:val="22"/>
                <w:szCs w:val="22"/>
              </w:rPr>
            </w:pPr>
            <w:r w:rsidRPr="00216964">
              <w:rPr>
                <w:snapToGrid w:val="0"/>
                <w:sz w:val="22"/>
                <w:szCs w:val="22"/>
              </w:rPr>
              <w:t xml:space="preserve">Предоставление Заказчику в электронном виде информации о прибытии (убытии) </w:t>
            </w:r>
            <w:proofErr w:type="gramStart"/>
            <w:r w:rsidRPr="00216964">
              <w:rPr>
                <w:snapToGrid w:val="0"/>
                <w:sz w:val="22"/>
                <w:szCs w:val="22"/>
              </w:rPr>
              <w:t>грузов  клиентов</w:t>
            </w:r>
            <w:proofErr w:type="gramEnd"/>
            <w:r w:rsidRPr="00216964">
              <w:rPr>
                <w:snapToGrid w:val="0"/>
                <w:sz w:val="22"/>
                <w:szCs w:val="22"/>
              </w:rPr>
              <w:t xml:space="preserve"> Заказчика на пограничные станции (единица измерения – контейнер, вагон, товарная партия);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ind w:firstLine="709"/>
              <w:rPr>
                <w:snapToGrid w:val="0"/>
                <w:sz w:val="22"/>
                <w:szCs w:val="22"/>
              </w:rPr>
            </w:pPr>
            <w:r w:rsidRPr="00216964">
              <w:rPr>
                <w:snapToGrid w:val="0"/>
                <w:sz w:val="22"/>
                <w:szCs w:val="22"/>
              </w:rPr>
              <w:t>600,00</w:t>
            </w:r>
          </w:p>
        </w:tc>
      </w:tr>
      <w:tr w:rsidR="00216964" w:rsidRPr="00216964" w:rsidTr="00C20F20">
        <w:trPr>
          <w:trHeight w:val="1035"/>
        </w:trPr>
        <w:tc>
          <w:tcPr>
            <w:tcW w:w="582" w:type="dxa"/>
            <w:tcBorders>
              <w:top w:val="single" w:sz="4" w:space="0" w:color="auto"/>
              <w:left w:val="single" w:sz="8" w:space="0" w:color="000000"/>
              <w:bottom w:val="single" w:sz="8" w:space="0" w:color="000000"/>
              <w:right w:val="single" w:sz="4" w:space="0" w:color="auto"/>
            </w:tcBorders>
            <w:shd w:val="clear" w:color="auto" w:fill="FFFFFF"/>
          </w:tcPr>
          <w:p w:rsidR="00216964" w:rsidRPr="00216964" w:rsidRDefault="00216964" w:rsidP="00216964">
            <w:pPr>
              <w:suppressAutoHyphens/>
              <w:jc w:val="both"/>
              <w:rPr>
                <w:kern w:val="1"/>
                <w:sz w:val="22"/>
                <w:szCs w:val="22"/>
                <w:lang w:eastAsia="ar-SA"/>
              </w:rPr>
            </w:pPr>
            <w:r w:rsidRPr="00216964">
              <w:rPr>
                <w:kern w:val="1"/>
                <w:sz w:val="22"/>
                <w:szCs w:val="22"/>
                <w:lang w:eastAsia="ar-SA"/>
              </w:rPr>
              <w:t>5.</w:t>
            </w:r>
          </w:p>
        </w:tc>
        <w:tc>
          <w:tcPr>
            <w:tcW w:w="6482"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jc w:val="both"/>
              <w:rPr>
                <w:snapToGrid w:val="0"/>
                <w:sz w:val="22"/>
                <w:szCs w:val="22"/>
              </w:rPr>
            </w:pPr>
            <w:r w:rsidRPr="00216964">
              <w:rPr>
                <w:snapToGrid w:val="0"/>
                <w:sz w:val="22"/>
                <w:szCs w:val="22"/>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sidRPr="00216964">
              <w:rPr>
                <w:snapToGrid w:val="0"/>
                <w:sz w:val="22"/>
                <w:szCs w:val="22"/>
              </w:rPr>
              <w:t>грузов Заказчика</w:t>
            </w:r>
            <w:proofErr w:type="gramEnd"/>
            <w:r w:rsidRPr="00216964">
              <w:rPr>
                <w:snapToGrid w:val="0"/>
                <w:sz w:val="22"/>
                <w:szCs w:val="22"/>
              </w:rPr>
              <w:t xml:space="preserve"> (единица измерения – контейнер, вагон, товарная партия).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964" w:rsidRPr="00216964" w:rsidRDefault="00216964" w:rsidP="00216964">
            <w:pPr>
              <w:shd w:val="clear" w:color="auto" w:fill="FFFFFF"/>
              <w:tabs>
                <w:tab w:val="left" w:pos="709"/>
              </w:tabs>
              <w:ind w:firstLine="709"/>
              <w:jc w:val="both"/>
              <w:rPr>
                <w:snapToGrid w:val="0"/>
                <w:sz w:val="22"/>
                <w:szCs w:val="22"/>
              </w:rPr>
            </w:pPr>
            <w:r w:rsidRPr="00216964">
              <w:rPr>
                <w:snapToGrid w:val="0"/>
                <w:sz w:val="22"/>
                <w:szCs w:val="22"/>
              </w:rPr>
              <w:t>3100,00</w:t>
            </w:r>
          </w:p>
        </w:tc>
      </w:tr>
    </w:tbl>
    <w:p w:rsidR="00216964" w:rsidRPr="00216964" w:rsidRDefault="00216964" w:rsidP="00216964">
      <w:pPr>
        <w:tabs>
          <w:tab w:val="left" w:pos="709"/>
        </w:tabs>
        <w:ind w:firstLine="709"/>
        <w:jc w:val="both"/>
        <w:rPr>
          <w:snapToGrid w:val="0"/>
          <w:sz w:val="22"/>
          <w:szCs w:val="22"/>
        </w:rPr>
      </w:pPr>
    </w:p>
    <w:p w:rsidR="00216964" w:rsidRPr="00216964" w:rsidRDefault="00216964" w:rsidP="00216964">
      <w:pPr>
        <w:rPr>
          <w:b/>
          <w:snapToGrid w:val="0"/>
          <w:sz w:val="22"/>
          <w:szCs w:val="22"/>
        </w:rPr>
      </w:pPr>
    </w:p>
    <w:p w:rsidR="00FE2830" w:rsidRPr="00FE2830" w:rsidRDefault="00FE2830" w:rsidP="00FE2830">
      <w:pPr>
        <w:tabs>
          <w:tab w:val="left" w:pos="284"/>
          <w:tab w:val="left" w:pos="709"/>
          <w:tab w:val="center" w:pos="4680"/>
          <w:tab w:val="right" w:pos="9355"/>
          <w:tab w:val="left" w:pos="9639"/>
        </w:tabs>
        <w:jc w:val="center"/>
        <w:rPr>
          <w:snapToGrid w:val="0"/>
          <w:szCs w:val="28"/>
        </w:rPr>
      </w:pPr>
    </w:p>
    <w:p w:rsidR="00B45587" w:rsidRPr="004152FB" w:rsidRDefault="00B45587" w:rsidP="002070BB">
      <w:pPr>
        <w:rPr>
          <w:szCs w:val="28"/>
        </w:rPr>
      </w:pPr>
    </w:p>
    <w:sectPr w:rsidR="00B45587" w:rsidRPr="004152FB" w:rsidSect="00FE2830">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10D" w:rsidRDefault="00BA310D" w:rsidP="00B470FA">
      <w:r>
        <w:separator/>
      </w:r>
    </w:p>
  </w:endnote>
  <w:endnote w:type="continuationSeparator" w:id="1">
    <w:p w:rsidR="00BA310D" w:rsidRDefault="00BA310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10D" w:rsidRDefault="00BA310D" w:rsidP="00B470FA">
      <w:r>
        <w:separator/>
      </w:r>
    </w:p>
  </w:footnote>
  <w:footnote w:type="continuationSeparator" w:id="1">
    <w:p w:rsidR="00BA310D" w:rsidRDefault="00BA310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B40C8A"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97443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7">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3">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041AC"/>
    <w:multiLevelType w:val="hybridMultilevel"/>
    <w:tmpl w:val="91FE67D6"/>
    <w:lvl w:ilvl="0" w:tplc="D2603A36">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B857FB8"/>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8"/>
  </w:num>
  <w:num w:numId="2">
    <w:abstractNumId w:val="44"/>
  </w:num>
  <w:num w:numId="3">
    <w:abstractNumId w:val="25"/>
  </w:num>
  <w:num w:numId="4">
    <w:abstractNumId w:val="9"/>
  </w:num>
  <w:num w:numId="5">
    <w:abstractNumId w:val="8"/>
  </w:num>
  <w:num w:numId="6">
    <w:abstractNumId w:val="0"/>
  </w:num>
  <w:num w:numId="7">
    <w:abstractNumId w:val="40"/>
  </w:num>
  <w:num w:numId="8">
    <w:abstractNumId w:val="10"/>
  </w:num>
  <w:num w:numId="9">
    <w:abstractNumId w:val="42"/>
  </w:num>
  <w:num w:numId="10">
    <w:abstractNumId w:val="23"/>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46"/>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9"/>
  </w:num>
  <w:num w:numId="22">
    <w:abstractNumId w:val="31"/>
  </w:num>
  <w:num w:numId="23">
    <w:abstractNumId w:val="39"/>
  </w:num>
  <w:num w:numId="24">
    <w:abstractNumId w:val="14"/>
  </w:num>
  <w:num w:numId="25">
    <w:abstractNumId w:val="12"/>
  </w:num>
  <w:num w:numId="26">
    <w:abstractNumId w:val="34"/>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5"/>
  </w:num>
  <w:num w:numId="30">
    <w:abstractNumId w:val="38"/>
  </w:num>
  <w:num w:numId="31">
    <w:abstractNumId w:val="22"/>
  </w:num>
  <w:num w:numId="32">
    <w:abstractNumId w:val="27"/>
  </w:num>
  <w:num w:numId="33">
    <w:abstractNumId w:val="21"/>
  </w:num>
  <w:num w:numId="34">
    <w:abstractNumId w:val="13"/>
  </w:num>
  <w:num w:numId="35">
    <w:abstractNumId w:val="15"/>
  </w:num>
  <w:num w:numId="36">
    <w:abstractNumId w:val="32"/>
  </w:num>
  <w:num w:numId="37">
    <w:abstractNumId w:val="20"/>
  </w:num>
  <w:num w:numId="38">
    <w:abstractNumId w:val="35"/>
  </w:num>
  <w:num w:numId="39">
    <w:abstractNumId w:val="30"/>
  </w:num>
  <w:num w:numId="40">
    <w:abstractNumId w:val="29"/>
  </w:num>
  <w:num w:numId="41">
    <w:abstractNumId w:val="7"/>
  </w:num>
  <w:num w:numId="42">
    <w:abstractNumId w:val="16"/>
  </w:num>
  <w:num w:numId="43">
    <w:abstractNumId w:val="36"/>
  </w:num>
  <w:num w:numId="44">
    <w:abstractNumId w:val="11"/>
  </w:num>
  <w:num w:numId="45">
    <w:abstractNumId w:val="43"/>
  </w:num>
  <w:num w:numId="46">
    <w:abstractNumId w:val="19"/>
  </w:num>
  <w:num w:numId="47">
    <w:abstractNumId w:val="33"/>
  </w:num>
  <w:num w:numId="48">
    <w:abstractNumId w:val="4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7898"/>
    <w:rsid w:val="005C0D47"/>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323"/>
    <w:rsid w:val="0067290F"/>
    <w:rsid w:val="00673C4D"/>
    <w:rsid w:val="00674CDB"/>
    <w:rsid w:val="00675141"/>
    <w:rsid w:val="006757A2"/>
    <w:rsid w:val="00675804"/>
    <w:rsid w:val="00675A2E"/>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435"/>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2137E"/>
    <w:rsid w:val="00B22F27"/>
    <w:rsid w:val="00B244EF"/>
    <w:rsid w:val="00B25E4C"/>
    <w:rsid w:val="00B264F6"/>
    <w:rsid w:val="00B26FF5"/>
    <w:rsid w:val="00B30058"/>
    <w:rsid w:val="00B31BDD"/>
    <w:rsid w:val="00B31F27"/>
    <w:rsid w:val="00B3513D"/>
    <w:rsid w:val="00B378F3"/>
    <w:rsid w:val="00B40C8A"/>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A5F"/>
    <w:rsid w:val="00CD2168"/>
    <w:rsid w:val="00CD25B1"/>
    <w:rsid w:val="00CD2829"/>
    <w:rsid w:val="00CD29F3"/>
    <w:rsid w:val="00CD2B4A"/>
    <w:rsid w:val="00CD2B7D"/>
    <w:rsid w:val="00CD2C21"/>
    <w:rsid w:val="00CD3084"/>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864"/>
    <w:rsid w:val="00FD1F1D"/>
    <w:rsid w:val="00FD21AA"/>
    <w:rsid w:val="00FD2308"/>
    <w:rsid w:val="00FD5035"/>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9403-4672-4BC9-AFFC-C6FD7E40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2013-11-28T12:07:00Z</cp:lastPrinted>
  <dcterms:created xsi:type="dcterms:W3CDTF">2013-12-13T13:08:00Z</dcterms:created>
  <dcterms:modified xsi:type="dcterms:W3CDTF">2013-12-13T13:08:00Z</dcterms:modified>
</cp:coreProperties>
</file>