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31" w:rsidRPr="00047B98" w:rsidRDefault="009F0631" w:rsidP="009F0631">
      <w:pPr>
        <w:tabs>
          <w:tab w:val="left" w:pos="4962"/>
        </w:tabs>
        <w:ind w:left="4820"/>
        <w:rPr>
          <w:b/>
          <w:bCs/>
          <w:sz w:val="28"/>
          <w:szCs w:val="28"/>
        </w:rPr>
      </w:pPr>
      <w:r w:rsidRPr="00047B98">
        <w:rPr>
          <w:b/>
          <w:bCs/>
          <w:sz w:val="28"/>
          <w:szCs w:val="28"/>
        </w:rPr>
        <w:t>УТВЕРЖДАЮ</w:t>
      </w:r>
    </w:p>
    <w:p w:rsidR="009F0631" w:rsidRPr="00047B98" w:rsidRDefault="009F0631" w:rsidP="009F0631">
      <w:pPr>
        <w:tabs>
          <w:tab w:val="left" w:pos="4962"/>
        </w:tabs>
        <w:ind w:left="4820"/>
        <w:rPr>
          <w:rFonts w:eastAsia="Arial Unicode MS"/>
          <w:b/>
          <w:bCs/>
          <w:sz w:val="28"/>
          <w:szCs w:val="28"/>
        </w:rPr>
      </w:pPr>
    </w:p>
    <w:p w:rsidR="009F0631" w:rsidRPr="007E3002" w:rsidRDefault="009F0631" w:rsidP="009F0631">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9F0631" w:rsidRPr="007E3002" w:rsidRDefault="009F0631" w:rsidP="009F0631">
      <w:pPr>
        <w:tabs>
          <w:tab w:val="left" w:pos="4962"/>
        </w:tabs>
        <w:ind w:left="4820"/>
        <w:rPr>
          <w:b/>
          <w:bCs/>
          <w:sz w:val="28"/>
          <w:szCs w:val="28"/>
        </w:rPr>
      </w:pPr>
      <w:r w:rsidRPr="007E3002">
        <w:rPr>
          <w:b/>
          <w:bCs/>
          <w:sz w:val="28"/>
          <w:szCs w:val="28"/>
        </w:rPr>
        <w:t xml:space="preserve">ОАО «ТрансКонтейнер» </w:t>
      </w:r>
    </w:p>
    <w:p w:rsidR="009F0631" w:rsidRPr="007E3002" w:rsidRDefault="009F0631" w:rsidP="009F0631">
      <w:pPr>
        <w:tabs>
          <w:tab w:val="left" w:pos="4962"/>
        </w:tabs>
        <w:ind w:left="4820"/>
        <w:rPr>
          <w:b/>
          <w:bCs/>
          <w:sz w:val="28"/>
          <w:szCs w:val="28"/>
        </w:rPr>
      </w:pPr>
    </w:p>
    <w:p w:rsidR="009F0631" w:rsidRPr="007E3002" w:rsidRDefault="009F0631" w:rsidP="009F0631">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9F0631" w:rsidRPr="007E3002" w:rsidRDefault="009F0631" w:rsidP="009F0631">
      <w:pPr>
        <w:tabs>
          <w:tab w:val="left" w:pos="4678"/>
        </w:tabs>
        <w:ind w:left="4820"/>
        <w:jc w:val="both"/>
        <w:rPr>
          <w:rFonts w:eastAsia="Arial Unicode MS"/>
        </w:rPr>
      </w:pPr>
    </w:p>
    <w:p w:rsidR="009F0631" w:rsidRDefault="009F0631" w:rsidP="009F0631">
      <w:pPr>
        <w:tabs>
          <w:tab w:val="left" w:pos="4962"/>
        </w:tabs>
        <w:ind w:left="4820"/>
        <w:rPr>
          <w:b/>
          <w:bCs/>
          <w:sz w:val="28"/>
        </w:rPr>
      </w:pPr>
      <w:r w:rsidRPr="007E3002">
        <w:rPr>
          <w:b/>
          <w:bCs/>
          <w:sz w:val="28"/>
        </w:rPr>
        <w:t>«__»________________2013г.</w:t>
      </w:r>
    </w:p>
    <w:p w:rsidR="009F0631" w:rsidRPr="009F0631" w:rsidRDefault="009F0631" w:rsidP="005465A1">
      <w:pPr>
        <w:jc w:val="right"/>
      </w:pPr>
    </w:p>
    <w:p w:rsidR="009F0631" w:rsidRPr="009F0631" w:rsidRDefault="009F0631" w:rsidP="005465A1">
      <w:pPr>
        <w:jc w:val="right"/>
      </w:pP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730BA9" w:rsidRPr="00730BA9" w:rsidRDefault="005465A1" w:rsidP="00730BA9">
      <w:pPr>
        <w:jc w:val="center"/>
        <w:rPr>
          <w:b/>
          <w:color w:val="000000"/>
          <w:sz w:val="32"/>
          <w:szCs w:val="32"/>
        </w:rPr>
      </w:pPr>
      <w:proofErr w:type="gramStart"/>
      <w:r w:rsidRPr="006D198B">
        <w:rPr>
          <w:b/>
          <w:bCs/>
          <w:sz w:val="28"/>
          <w:szCs w:val="28"/>
        </w:rPr>
        <w:t>ОАО «</w:t>
      </w:r>
      <w:r w:rsidR="006B31CA" w:rsidRPr="006D198B">
        <w:rPr>
          <w:b/>
          <w:bCs/>
          <w:sz w:val="28"/>
          <w:szCs w:val="28"/>
        </w:rPr>
        <w:t>ТрансКонтейнер</w:t>
      </w:r>
      <w:r w:rsidRPr="006D198B">
        <w:rPr>
          <w:b/>
          <w:bCs/>
          <w:sz w:val="28"/>
          <w:szCs w:val="28"/>
        </w:rPr>
        <w:t>» информирует о внесении и</w:t>
      </w:r>
      <w:r w:rsidR="004D52B3" w:rsidRPr="006D198B">
        <w:rPr>
          <w:b/>
          <w:bCs/>
          <w:sz w:val="28"/>
          <w:szCs w:val="28"/>
        </w:rPr>
        <w:t>зменени</w:t>
      </w:r>
      <w:r w:rsidRPr="006D198B">
        <w:rPr>
          <w:b/>
          <w:bCs/>
          <w:sz w:val="28"/>
          <w:szCs w:val="28"/>
        </w:rPr>
        <w:t>й</w:t>
      </w:r>
      <w:r w:rsidR="004D52B3" w:rsidRPr="006D198B">
        <w:rPr>
          <w:b/>
          <w:bCs/>
          <w:sz w:val="28"/>
          <w:szCs w:val="28"/>
        </w:rPr>
        <w:t xml:space="preserve"> </w:t>
      </w:r>
      <w:r w:rsidR="00954011" w:rsidRPr="006D198B">
        <w:rPr>
          <w:b/>
          <w:bCs/>
          <w:sz w:val="28"/>
          <w:szCs w:val="28"/>
        </w:rPr>
        <w:t>в</w:t>
      </w:r>
      <w:r w:rsidR="004D52B3" w:rsidRPr="006D198B">
        <w:rPr>
          <w:b/>
          <w:bCs/>
          <w:sz w:val="28"/>
          <w:szCs w:val="28"/>
        </w:rPr>
        <w:t xml:space="preserve"> извещение и</w:t>
      </w:r>
      <w:r w:rsidR="00954011" w:rsidRPr="006D198B">
        <w:rPr>
          <w:b/>
          <w:bCs/>
          <w:sz w:val="28"/>
          <w:szCs w:val="28"/>
        </w:rPr>
        <w:t xml:space="preserve"> </w:t>
      </w:r>
      <w:r w:rsidR="004D18AA" w:rsidRPr="006D198B">
        <w:rPr>
          <w:b/>
          <w:bCs/>
          <w:sz w:val="28"/>
          <w:szCs w:val="28"/>
        </w:rPr>
        <w:t>конкурсную</w:t>
      </w:r>
      <w:r w:rsidR="004D52B3" w:rsidRPr="006D198B">
        <w:rPr>
          <w:b/>
          <w:bCs/>
          <w:sz w:val="28"/>
          <w:szCs w:val="28"/>
        </w:rPr>
        <w:t xml:space="preserve"> документацию </w:t>
      </w:r>
      <w:r w:rsidR="004D18AA" w:rsidRPr="006D198B">
        <w:rPr>
          <w:b/>
          <w:bCs/>
          <w:sz w:val="28"/>
          <w:szCs w:val="28"/>
        </w:rPr>
        <w:t xml:space="preserve">открытого конкурса </w:t>
      </w:r>
      <w:r w:rsidR="004D18AA" w:rsidRPr="006D198B">
        <w:rPr>
          <w:b/>
          <w:bCs/>
          <w:sz w:val="28"/>
          <w:szCs w:val="28"/>
        </w:rPr>
        <w:br/>
      </w:r>
      <w:r w:rsidR="006B31CA" w:rsidRPr="006D198B">
        <w:rPr>
          <w:b/>
          <w:bCs/>
          <w:sz w:val="28"/>
          <w:szCs w:val="28"/>
        </w:rPr>
        <w:t xml:space="preserve">№ </w:t>
      </w:r>
      <w:r w:rsidR="00730BA9" w:rsidRPr="000D4F6B">
        <w:rPr>
          <w:b/>
          <w:color w:val="000000"/>
          <w:sz w:val="32"/>
          <w:szCs w:val="32"/>
        </w:rPr>
        <w:t>ЗП/029/ЦКПЗС/0123</w:t>
      </w:r>
      <w:r w:rsidR="00730BA9" w:rsidRPr="006D198B">
        <w:rPr>
          <w:b/>
          <w:bCs/>
          <w:sz w:val="28"/>
          <w:szCs w:val="28"/>
        </w:rPr>
        <w:t xml:space="preserve"> </w:t>
      </w:r>
      <w:r w:rsidR="006B31CA" w:rsidRPr="006D198B">
        <w:rPr>
          <w:b/>
          <w:bCs/>
          <w:sz w:val="28"/>
          <w:szCs w:val="28"/>
        </w:rPr>
        <w:t xml:space="preserve">(далее – </w:t>
      </w:r>
      <w:r w:rsidR="00730BA9">
        <w:rPr>
          <w:b/>
          <w:bCs/>
          <w:sz w:val="28"/>
          <w:szCs w:val="28"/>
        </w:rPr>
        <w:t>запрос предложений</w:t>
      </w:r>
      <w:r w:rsidR="006B31CA" w:rsidRPr="006D198B">
        <w:rPr>
          <w:b/>
          <w:bCs/>
          <w:sz w:val="28"/>
          <w:szCs w:val="28"/>
        </w:rPr>
        <w:t xml:space="preserve">) </w:t>
      </w:r>
      <w:r w:rsidR="006D198B" w:rsidRPr="006D198B">
        <w:rPr>
          <w:b/>
          <w:sz w:val="28"/>
          <w:szCs w:val="28"/>
        </w:rPr>
        <w:t xml:space="preserve">на право заключения договора на выполнение работ </w:t>
      </w:r>
      <w:r w:rsidR="00730BA9" w:rsidRPr="00730BA9">
        <w:rPr>
          <w:b/>
          <w:sz w:val="28"/>
          <w:szCs w:val="28"/>
        </w:rPr>
        <w:t>по реконструкции кранового пути № 1.1 (инв. 00000150) агент</w:t>
      </w:r>
      <w:r w:rsidR="00730BA9">
        <w:rPr>
          <w:b/>
          <w:sz w:val="28"/>
          <w:szCs w:val="28"/>
        </w:rPr>
        <w:t xml:space="preserve">ства на станции Придача филиала </w:t>
      </w:r>
      <w:r w:rsidR="00730BA9" w:rsidRPr="00730BA9">
        <w:rPr>
          <w:b/>
          <w:sz w:val="28"/>
          <w:szCs w:val="28"/>
        </w:rPr>
        <w:t xml:space="preserve">ОАО «ТрансКонтейнер» на Юго-Восточной железной дороге в </w:t>
      </w:r>
      <w:r w:rsidR="00730BA9" w:rsidRPr="00730BA9">
        <w:rPr>
          <w:b/>
          <w:sz w:val="28"/>
          <w:szCs w:val="28"/>
          <w:lang w:val="en-US"/>
        </w:rPr>
        <w:t>IV</w:t>
      </w:r>
      <w:r w:rsidR="00730BA9" w:rsidRPr="00730BA9">
        <w:rPr>
          <w:b/>
          <w:sz w:val="28"/>
          <w:szCs w:val="28"/>
        </w:rPr>
        <w:t xml:space="preserve"> квартале 2013 года.</w:t>
      </w:r>
      <w:proofErr w:type="gramEnd"/>
    </w:p>
    <w:p w:rsidR="00730BA9" w:rsidRPr="006D198B" w:rsidRDefault="00730BA9" w:rsidP="00730BA9">
      <w:pPr>
        <w:jc w:val="center"/>
        <w:rPr>
          <w:b/>
          <w:color w:val="000000"/>
          <w:sz w:val="28"/>
          <w:szCs w:val="28"/>
        </w:rPr>
      </w:pPr>
    </w:p>
    <w:p w:rsidR="006B31CA" w:rsidRDefault="006B31CA" w:rsidP="006B31CA">
      <w:pPr>
        <w:jc w:val="center"/>
        <w:rPr>
          <w:b/>
          <w:sz w:val="28"/>
          <w:szCs w:val="28"/>
        </w:rPr>
      </w:pPr>
    </w:p>
    <w:p w:rsidR="007B3042" w:rsidRDefault="006B31CA" w:rsidP="007B3042">
      <w:pPr>
        <w:ind w:firstLine="709"/>
        <w:jc w:val="both"/>
        <w:rPr>
          <w:sz w:val="28"/>
          <w:szCs w:val="28"/>
        </w:rPr>
      </w:pPr>
      <w:r w:rsidRPr="007B3042">
        <w:rPr>
          <w:b/>
          <w:sz w:val="28"/>
          <w:szCs w:val="28"/>
        </w:rPr>
        <w:t xml:space="preserve">1. </w:t>
      </w:r>
      <w:r w:rsidR="007B3042" w:rsidRPr="007B3042">
        <w:rPr>
          <w:b/>
          <w:sz w:val="28"/>
          <w:szCs w:val="28"/>
        </w:rPr>
        <w:t xml:space="preserve">В </w:t>
      </w:r>
      <w:r w:rsidR="006D198B">
        <w:rPr>
          <w:b/>
          <w:sz w:val="28"/>
          <w:szCs w:val="28"/>
        </w:rPr>
        <w:t xml:space="preserve">документации о закупке Приложение </w:t>
      </w:r>
      <w:r w:rsidR="00730BA9">
        <w:rPr>
          <w:b/>
          <w:sz w:val="28"/>
          <w:szCs w:val="28"/>
        </w:rPr>
        <w:t>2</w:t>
      </w:r>
      <w:r w:rsidR="006D198B">
        <w:rPr>
          <w:b/>
          <w:sz w:val="28"/>
          <w:szCs w:val="28"/>
        </w:rPr>
        <w:t xml:space="preserve"> </w:t>
      </w:r>
      <w:r w:rsidR="009931A1">
        <w:rPr>
          <w:b/>
          <w:sz w:val="28"/>
          <w:szCs w:val="28"/>
        </w:rPr>
        <w:t xml:space="preserve">к техническому заданию </w:t>
      </w:r>
      <w:r w:rsidR="007B3042" w:rsidRPr="007B3042">
        <w:rPr>
          <w:b/>
          <w:sz w:val="28"/>
          <w:szCs w:val="28"/>
        </w:rPr>
        <w:t>изложить в следующей редакции:</w:t>
      </w:r>
    </w:p>
    <w:p w:rsidR="006D198B" w:rsidRPr="006D198B" w:rsidRDefault="006D198B" w:rsidP="007B3042">
      <w:pPr>
        <w:ind w:firstLine="709"/>
        <w:jc w:val="both"/>
        <w:rPr>
          <w:sz w:val="28"/>
          <w:szCs w:val="28"/>
        </w:rPr>
      </w:pPr>
    </w:p>
    <w:p w:rsidR="006D198B" w:rsidRDefault="006D198B" w:rsidP="006D198B">
      <w:pPr>
        <w:pStyle w:val="a4"/>
        <w:tabs>
          <w:tab w:val="left" w:pos="1080"/>
        </w:tabs>
        <w:rPr>
          <w:sz w:val="24"/>
        </w:rPr>
      </w:pPr>
      <w:r w:rsidRPr="00047B98">
        <w:rPr>
          <w:sz w:val="24"/>
        </w:rPr>
        <w:t xml:space="preserve">Перечень работ, выполнение которых требует наличия выданного </w:t>
      </w:r>
      <w:proofErr w:type="spellStart"/>
      <w:r w:rsidRPr="00047B98">
        <w:rPr>
          <w:sz w:val="24"/>
        </w:rPr>
        <w:t>саморегулируемой</w:t>
      </w:r>
      <w:proofErr w:type="spellEnd"/>
      <w:r w:rsidRPr="00047B98">
        <w:rPr>
          <w:sz w:val="24"/>
        </w:rPr>
        <w:t xml:space="preserve"> организацией (СРО) свидетельства о допуске к осуществлению работ, влияющих на безопасность объектов капитального строительства, </w:t>
      </w:r>
      <w:r>
        <w:rPr>
          <w:sz w:val="24"/>
        </w:rPr>
        <w:t>кроме</w:t>
      </w:r>
      <w:r w:rsidRPr="00047B98">
        <w:rPr>
          <w:sz w:val="24"/>
        </w:rPr>
        <w:t xml:space="preserve"> особо опасны</w:t>
      </w:r>
      <w:r>
        <w:rPr>
          <w:sz w:val="24"/>
        </w:rPr>
        <w:t>х,</w:t>
      </w:r>
      <w:r w:rsidRPr="00047B98">
        <w:rPr>
          <w:sz w:val="24"/>
        </w:rPr>
        <w:t xml:space="preserve"> технически сложны</w:t>
      </w:r>
      <w:r>
        <w:rPr>
          <w:sz w:val="24"/>
        </w:rPr>
        <w:t>х</w:t>
      </w:r>
      <w:r w:rsidRPr="00047B98">
        <w:rPr>
          <w:sz w:val="24"/>
        </w:rPr>
        <w:t xml:space="preserve"> </w:t>
      </w:r>
      <w:r>
        <w:rPr>
          <w:sz w:val="24"/>
        </w:rPr>
        <w:t xml:space="preserve">и уникальных </w:t>
      </w:r>
      <w:r w:rsidRPr="00047B98">
        <w:rPr>
          <w:sz w:val="24"/>
        </w:rPr>
        <w:t>объект</w:t>
      </w:r>
      <w:r>
        <w:rPr>
          <w:sz w:val="24"/>
        </w:rPr>
        <w:t xml:space="preserve">ов, </w:t>
      </w:r>
      <w:r w:rsidRPr="00047B98">
        <w:rPr>
          <w:sz w:val="24"/>
        </w:rPr>
        <w:t>объектов использования атомной энергии.</w:t>
      </w:r>
    </w:p>
    <w:p w:rsidR="006D198B" w:rsidRPr="00186DFE" w:rsidRDefault="006D198B" w:rsidP="006D198B">
      <w:pPr>
        <w:pStyle w:val="a4"/>
        <w:tabs>
          <w:tab w:val="left" w:pos="1080"/>
        </w:tabs>
        <w:rPr>
          <w:sz w:val="24"/>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8434"/>
      </w:tblGrid>
      <w:tr w:rsidR="006D198B" w:rsidRPr="00047B98" w:rsidTr="00120022">
        <w:trPr>
          <w:trHeight w:val="624"/>
        </w:trPr>
        <w:tc>
          <w:tcPr>
            <w:tcW w:w="1384" w:type="dxa"/>
            <w:vAlign w:val="center"/>
          </w:tcPr>
          <w:p w:rsidR="006D198B" w:rsidRPr="00047B98" w:rsidRDefault="006D198B" w:rsidP="00120022">
            <w:pPr>
              <w:autoSpaceDE w:val="0"/>
              <w:autoSpaceDN w:val="0"/>
              <w:jc w:val="center"/>
              <w:rPr>
                <w:b/>
                <w:bCs/>
              </w:rPr>
            </w:pPr>
            <w:r w:rsidRPr="00047B98">
              <w:rPr>
                <w:b/>
                <w:bCs/>
              </w:rPr>
              <w:t>№ лота</w:t>
            </w:r>
          </w:p>
        </w:tc>
        <w:tc>
          <w:tcPr>
            <w:tcW w:w="8434" w:type="dxa"/>
            <w:tcMar>
              <w:top w:w="0" w:type="dxa"/>
              <w:left w:w="108" w:type="dxa"/>
              <w:bottom w:w="0" w:type="dxa"/>
              <w:right w:w="108" w:type="dxa"/>
            </w:tcMar>
            <w:vAlign w:val="center"/>
            <w:hideMark/>
          </w:tcPr>
          <w:p w:rsidR="006D198B" w:rsidRPr="00047B98" w:rsidRDefault="006D198B" w:rsidP="00120022">
            <w:pPr>
              <w:autoSpaceDE w:val="0"/>
              <w:autoSpaceDN w:val="0"/>
              <w:jc w:val="center"/>
              <w:rPr>
                <w:b/>
                <w:bCs/>
              </w:rPr>
            </w:pPr>
            <w:r w:rsidRPr="00047B98">
              <w:rPr>
                <w:b/>
                <w:bCs/>
              </w:rPr>
              <w:t xml:space="preserve">Виды работ по Перечню, утвержденному Приказом </w:t>
            </w:r>
            <w:proofErr w:type="spellStart"/>
            <w:r w:rsidRPr="00047B98">
              <w:rPr>
                <w:b/>
                <w:bCs/>
              </w:rPr>
              <w:t>Минрегиона</w:t>
            </w:r>
            <w:proofErr w:type="spellEnd"/>
            <w:r w:rsidRPr="00047B98">
              <w:rPr>
                <w:b/>
                <w:bCs/>
              </w:rPr>
              <w:t xml:space="preserve"> России от 30.12.2009 г. </w:t>
            </w:r>
            <w:r>
              <w:rPr>
                <w:b/>
                <w:bCs/>
              </w:rPr>
              <w:t>№</w:t>
            </w:r>
            <w:r w:rsidRPr="00047B98">
              <w:rPr>
                <w:b/>
                <w:bCs/>
              </w:rPr>
              <w:t xml:space="preserve"> 624</w:t>
            </w:r>
          </w:p>
        </w:tc>
      </w:tr>
      <w:tr w:rsidR="006D198B" w:rsidTr="00120022">
        <w:trPr>
          <w:trHeight w:val="620"/>
        </w:trPr>
        <w:tc>
          <w:tcPr>
            <w:tcW w:w="1384" w:type="dxa"/>
            <w:vAlign w:val="center"/>
          </w:tcPr>
          <w:p w:rsidR="006D198B" w:rsidRPr="00047B98" w:rsidRDefault="006D198B" w:rsidP="00120022">
            <w:pPr>
              <w:ind w:firstLine="34"/>
              <w:jc w:val="center"/>
              <w:rPr>
                <w:b/>
                <w:bCs/>
              </w:rPr>
            </w:pPr>
            <w:r w:rsidRPr="00047B98">
              <w:rPr>
                <w:b/>
                <w:bCs/>
              </w:rPr>
              <w:t>1</w:t>
            </w:r>
          </w:p>
        </w:tc>
        <w:tc>
          <w:tcPr>
            <w:tcW w:w="8434" w:type="dxa"/>
            <w:tcMar>
              <w:top w:w="0" w:type="dxa"/>
              <w:left w:w="108" w:type="dxa"/>
              <w:bottom w:w="0" w:type="dxa"/>
              <w:right w:w="108" w:type="dxa"/>
            </w:tcMar>
            <w:vAlign w:val="center"/>
            <w:hideMark/>
          </w:tcPr>
          <w:p w:rsidR="006D198B" w:rsidRDefault="006D198B" w:rsidP="00120022">
            <w:pPr>
              <w:autoSpaceDE w:val="0"/>
              <w:autoSpaceDN w:val="0"/>
              <w:adjustRightInd w:val="0"/>
              <w:ind w:firstLine="459"/>
              <w:jc w:val="both"/>
              <w:rPr>
                <w:rFonts w:ascii="Arial-BoldMT" w:hAnsi="Arial-BoldMT" w:cs="Arial-BoldMT"/>
                <w:b/>
                <w:bCs/>
                <w:sz w:val="18"/>
                <w:szCs w:val="18"/>
              </w:rPr>
            </w:pPr>
            <w:r w:rsidRPr="00C80199">
              <w:rPr>
                <w:rFonts w:ascii="ArialMT" w:hAnsi="ArialMT" w:cs="ArialMT"/>
                <w:b/>
                <w:bCs/>
                <w:szCs w:val="18"/>
              </w:rPr>
              <w:t xml:space="preserve">2. </w:t>
            </w:r>
            <w:r w:rsidRPr="00C80199">
              <w:rPr>
                <w:rFonts w:ascii="Arial-BoldMT" w:hAnsi="Arial-BoldMT" w:cs="Arial-BoldMT"/>
                <w:b/>
                <w:bCs/>
                <w:szCs w:val="18"/>
              </w:rPr>
              <w:t>Подготовительные работы.</w:t>
            </w:r>
          </w:p>
          <w:p w:rsidR="006D198B" w:rsidRPr="00ED6C10" w:rsidRDefault="006D198B" w:rsidP="00ED6C10">
            <w:pPr>
              <w:autoSpaceDE w:val="0"/>
              <w:autoSpaceDN w:val="0"/>
              <w:adjustRightInd w:val="0"/>
              <w:ind w:firstLine="459"/>
              <w:jc w:val="both"/>
              <w:rPr>
                <w:rFonts w:ascii="Arial-BoldMT" w:hAnsi="Arial-BoldMT" w:cs="Arial-BoldMT"/>
                <w:bCs/>
              </w:rPr>
            </w:pPr>
            <w:r w:rsidRPr="00C80199">
              <w:rPr>
                <w:rFonts w:ascii="ArialMT" w:hAnsi="ArialMT" w:cs="ArialMT"/>
                <w:bCs/>
              </w:rPr>
              <w:t xml:space="preserve">2.3. </w:t>
            </w:r>
            <w:r w:rsidRPr="00C80199">
              <w:rPr>
                <w:rFonts w:ascii="Arial-BoldMT" w:hAnsi="Arial-BoldMT" w:cs="Arial-BoldMT"/>
                <w:bCs/>
              </w:rPr>
              <w:t xml:space="preserve">Устройство рельсовых подкрановых путей и фундаментов </w:t>
            </w:r>
            <w:r w:rsidRPr="00C80199">
              <w:rPr>
                <w:rFonts w:ascii="ArialMT" w:hAnsi="ArialMT" w:cs="ArialMT"/>
                <w:bCs/>
              </w:rPr>
              <w:t>(</w:t>
            </w:r>
            <w:r w:rsidRPr="00C80199">
              <w:rPr>
                <w:rFonts w:ascii="Arial-BoldMT" w:hAnsi="Arial-BoldMT" w:cs="Arial-BoldMT"/>
                <w:bCs/>
              </w:rPr>
              <w:t>опоры</w:t>
            </w:r>
            <w:r w:rsidRPr="00C80199">
              <w:rPr>
                <w:rFonts w:ascii="ArialMT" w:hAnsi="ArialMT" w:cs="ArialMT"/>
                <w:bCs/>
              </w:rPr>
              <w:t xml:space="preserve">) </w:t>
            </w:r>
            <w:r w:rsidRPr="00C80199">
              <w:rPr>
                <w:rFonts w:ascii="Arial-BoldMT" w:hAnsi="Arial-BoldMT" w:cs="Arial-BoldMT"/>
                <w:bCs/>
              </w:rPr>
              <w:t>стационарных кранов.</w:t>
            </w:r>
          </w:p>
        </w:tc>
      </w:tr>
    </w:tbl>
    <w:p w:rsidR="006B31CA" w:rsidRDefault="006B31CA" w:rsidP="006B31CA">
      <w:pPr>
        <w:widowControl w:val="0"/>
        <w:spacing w:line="360" w:lineRule="exact"/>
        <w:rPr>
          <w:lang w:val="en-US"/>
        </w:rPr>
      </w:pPr>
    </w:p>
    <w:p w:rsidR="00ED6C10" w:rsidRDefault="00ED6C10" w:rsidP="00ED6C10">
      <w:pPr>
        <w:pStyle w:val="a"/>
        <w:numPr>
          <w:ilvl w:val="0"/>
          <w:numId w:val="0"/>
        </w:numPr>
        <w:ind w:firstLine="709"/>
      </w:pPr>
      <w:r w:rsidRPr="00ED6C10">
        <w:rPr>
          <w:b/>
        </w:rPr>
        <w:t>2. Пункт 3.2.6. утвердить в следующей редакции:</w:t>
      </w:r>
      <w:r>
        <w:t xml:space="preserve"> в</w:t>
      </w:r>
      <w:r w:rsidRPr="00353E86">
        <w:t xml:space="preserve">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w:t>
      </w:r>
      <w:proofErr w:type="gramStart"/>
      <w:r w:rsidRPr="006219CA">
        <w:t>Общая стоимость работ подтверждается сметным расчетом, составленным на основании Технического задания (раздел 4 настоящей документации)</w:t>
      </w:r>
      <w:r w:rsidRPr="006219CA">
        <w:rPr>
          <w:iCs/>
        </w:rPr>
        <w:t xml:space="preserve"> в сметно-нормативной базе </w:t>
      </w:r>
      <w:r>
        <w:rPr>
          <w:iCs/>
        </w:rPr>
        <w:t xml:space="preserve">ОСНБЖ-2001 </w:t>
      </w:r>
      <w:r w:rsidRPr="00186DFE">
        <w:rPr>
          <w:iCs/>
        </w:rPr>
        <w:t xml:space="preserve">с использованием текущих индексов изменения сметной стоимости строительства, реконструкции и капитального ремонта ОАО «РЖД» </w:t>
      </w:r>
      <w:r>
        <w:rPr>
          <w:iCs/>
        </w:rPr>
        <w:t xml:space="preserve">(распоряжение ОАО «РЖД» от 29 декабря 2011 года №2821р «Об утверждении Порядка определения стоимости строительства объектов инфраструктуры железнодорожного </w:t>
      </w:r>
      <w:r>
        <w:rPr>
          <w:iCs/>
        </w:rPr>
        <w:lastRenderedPageBreak/>
        <w:t>транспорта и других объектов ОАО «РЖД» с применением отраслевой</w:t>
      </w:r>
      <w:proofErr w:type="gramEnd"/>
      <w:r>
        <w:rPr>
          <w:iCs/>
        </w:rPr>
        <w:t xml:space="preserve"> </w:t>
      </w:r>
      <w:proofErr w:type="gramStart"/>
      <w:r>
        <w:rPr>
          <w:iCs/>
        </w:rPr>
        <w:t>сметно-нормативной базы ОСНБЖ-2001»)</w:t>
      </w:r>
      <w:r w:rsidRPr="006D5814">
        <w:rPr>
          <w:iCs/>
        </w:rPr>
        <w:t xml:space="preserve"> </w:t>
      </w:r>
      <w:r w:rsidRPr="006219CA">
        <w:rPr>
          <w:iCs/>
        </w:rPr>
        <w:t>и применением к итогу сметной стоимости коэффициента 0,95 (на основании решения Совета Директоров ОАО «ТрансКонтейнер» от 20.12.2011г.)»</w:t>
      </w:r>
      <w:r w:rsidRPr="006219CA">
        <w:t>.</w:t>
      </w:r>
      <w:proofErr w:type="gramEnd"/>
      <w:r w:rsidRPr="006219CA">
        <w:t xml:space="preserve"> Расчет оформляется в виде приложения к</w:t>
      </w:r>
      <w:proofErr w:type="gramStart"/>
      <w:r w:rsidRPr="006219CA">
        <w:t xml:space="preserve"> Ф</w:t>
      </w:r>
      <w:proofErr w:type="gramEnd"/>
      <w:r w:rsidRPr="006219CA">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w:t>
      </w:r>
      <w:proofErr w:type="gramStart"/>
      <w:r w:rsidRPr="006219CA">
        <w:t>г</w:t>
      </w:r>
      <w:proofErr w:type="gramEnd"/>
      <w:r w:rsidRPr="006219CA">
        <w:t>. Москва, Оружейный переулок, д.19, этаж 5, кабинет № 506</w:t>
      </w:r>
      <w:r w:rsidRPr="006219CA">
        <w:rPr>
          <w:rStyle w:val="aa"/>
          <w:rFonts w:eastAsia="MS Mincho"/>
        </w:rPr>
        <w:t xml:space="preserve">, контактное лицо – </w:t>
      </w:r>
      <w:r w:rsidRPr="006219CA">
        <w:t>Жихорев Николай Николаевич, тел.  8 (495) 788-1717 (</w:t>
      </w:r>
      <w:proofErr w:type="spellStart"/>
      <w:r w:rsidRPr="006219CA">
        <w:t>доб</w:t>
      </w:r>
      <w:proofErr w:type="spellEnd"/>
      <w:r w:rsidRPr="006219CA">
        <w:t xml:space="preserve">. 15-10). </w:t>
      </w:r>
      <w:proofErr w:type="gramStart"/>
      <w:r w:rsidRPr="006219CA">
        <w:t>Для</w:t>
      </w:r>
      <w:proofErr w:type="gramEnd"/>
      <w:r w:rsidRPr="006219CA">
        <w:t xml:space="preserve">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6219CA">
        <w:softHyphen/>
        <w:t xml:space="preserve"> </w:t>
      </w:r>
      <w:hyperlink r:id="rId5" w:history="1">
        <w:r w:rsidRPr="006219CA">
          <w:rPr>
            <w:rStyle w:val="ab"/>
            <w:b/>
          </w:rPr>
          <w:t>ZhihorevNN@trcont.ru</w:t>
        </w:r>
      </w:hyperlink>
      <w:r w:rsidRPr="006219CA">
        <w:t xml:space="preserve"> </w:t>
      </w:r>
      <w:r w:rsidRPr="006219CA">
        <w:rPr>
          <w:rStyle w:val="aa"/>
          <w:rFonts w:eastAsia="MS Mincho"/>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6219CA">
        <w:t xml:space="preserve"> </w:t>
      </w:r>
      <w:proofErr w:type="gramStart"/>
      <w:r w:rsidRPr="006219CA">
        <w:t>Срок выполнения работ</w:t>
      </w:r>
      <w:r w:rsidRPr="009A1114">
        <w:t xml:space="preserve">, оказания услуг, поставки товаров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w:t>
      </w:r>
      <w:r w:rsidRPr="00047B98">
        <w:t>не более предельного срока, определенного Заказчиком в Техническом задании (раздел 4 настоящей</w:t>
      </w:r>
      <w:r w:rsidRPr="009A1114">
        <w:t xml:space="preserve"> документации)</w:t>
      </w:r>
      <w:r w:rsidRPr="00BB5B51">
        <w:t xml:space="preserve"> </w:t>
      </w:r>
      <w:r>
        <w:t>и/или информационной карте</w:t>
      </w:r>
      <w:r w:rsidRPr="009A1114">
        <w:t>.</w:t>
      </w:r>
      <w:proofErr w:type="gramEnd"/>
      <w:r w:rsidRPr="009A1114">
        <w:t xml:space="preserve"> </w:t>
      </w:r>
      <w:r w:rsidRPr="007E3002">
        <w:t>В подтверждение претендент в виде приложения к</w:t>
      </w:r>
      <w:proofErr w:type="gramStart"/>
      <w:r w:rsidRPr="007E3002">
        <w:t xml:space="preserve"> Ф</w:t>
      </w:r>
      <w:proofErr w:type="gramEnd"/>
      <w:r w:rsidRPr="007E3002">
        <w:t xml:space="preserve">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 </w:t>
      </w:r>
    </w:p>
    <w:p w:rsidR="00ED6C10" w:rsidRPr="00ED6C10" w:rsidRDefault="00ED6C10" w:rsidP="00ED6C10">
      <w:pPr>
        <w:widowControl w:val="0"/>
        <w:spacing w:line="360" w:lineRule="exact"/>
        <w:ind w:firstLine="709"/>
      </w:pPr>
    </w:p>
    <w:p w:rsidR="00D42893" w:rsidRPr="006B31CA" w:rsidRDefault="006B31CA" w:rsidP="006B31CA">
      <w:pPr>
        <w:shd w:val="clear" w:color="auto" w:fill="FFFFFF"/>
        <w:jc w:val="both"/>
        <w:rPr>
          <w:sz w:val="28"/>
          <w:szCs w:val="28"/>
        </w:rPr>
      </w:pPr>
      <w:r>
        <w:rPr>
          <w:sz w:val="28"/>
          <w:szCs w:val="28"/>
        </w:rPr>
        <w:t>Далее по тексту.</w:t>
      </w: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923243A"/>
    <w:multiLevelType w:val="multilevel"/>
    <w:tmpl w:val="349A818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30AFA"/>
    <w:rsid w:val="00157987"/>
    <w:rsid w:val="001E6F3E"/>
    <w:rsid w:val="001F1484"/>
    <w:rsid w:val="00327A51"/>
    <w:rsid w:val="003A66C4"/>
    <w:rsid w:val="003B2F3B"/>
    <w:rsid w:val="003F5F60"/>
    <w:rsid w:val="00430E64"/>
    <w:rsid w:val="004351C1"/>
    <w:rsid w:val="00493EE3"/>
    <w:rsid w:val="004A75B5"/>
    <w:rsid w:val="004D18AA"/>
    <w:rsid w:val="004D52B3"/>
    <w:rsid w:val="00503D7C"/>
    <w:rsid w:val="005465A1"/>
    <w:rsid w:val="005D49D3"/>
    <w:rsid w:val="005F6121"/>
    <w:rsid w:val="0060150A"/>
    <w:rsid w:val="006679F7"/>
    <w:rsid w:val="006B31CA"/>
    <w:rsid w:val="006D198B"/>
    <w:rsid w:val="00724E4B"/>
    <w:rsid w:val="00730BA9"/>
    <w:rsid w:val="00744E9D"/>
    <w:rsid w:val="00771996"/>
    <w:rsid w:val="007973DE"/>
    <w:rsid w:val="007B3042"/>
    <w:rsid w:val="007E0E89"/>
    <w:rsid w:val="008346D5"/>
    <w:rsid w:val="00875495"/>
    <w:rsid w:val="008D7EAE"/>
    <w:rsid w:val="00904C2D"/>
    <w:rsid w:val="009077ED"/>
    <w:rsid w:val="00935A7A"/>
    <w:rsid w:val="00945A14"/>
    <w:rsid w:val="00954011"/>
    <w:rsid w:val="0097632D"/>
    <w:rsid w:val="009931A1"/>
    <w:rsid w:val="009A6883"/>
    <w:rsid w:val="009C5148"/>
    <w:rsid w:val="009F0631"/>
    <w:rsid w:val="00A248D1"/>
    <w:rsid w:val="00AB2444"/>
    <w:rsid w:val="00BE24FC"/>
    <w:rsid w:val="00C115FB"/>
    <w:rsid w:val="00C15989"/>
    <w:rsid w:val="00C16581"/>
    <w:rsid w:val="00C51A5D"/>
    <w:rsid w:val="00CA008E"/>
    <w:rsid w:val="00CE4C0A"/>
    <w:rsid w:val="00CE775F"/>
    <w:rsid w:val="00D42893"/>
    <w:rsid w:val="00D43E39"/>
    <w:rsid w:val="00D56FC7"/>
    <w:rsid w:val="00D75DA3"/>
    <w:rsid w:val="00DC3D56"/>
    <w:rsid w:val="00E02D9A"/>
    <w:rsid w:val="00E72036"/>
    <w:rsid w:val="00E850D5"/>
    <w:rsid w:val="00ED6C10"/>
    <w:rsid w:val="00F22B48"/>
    <w:rsid w:val="00F52851"/>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8346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8346D5"/>
    <w:rPr>
      <w:rFonts w:ascii="Times New Roman" w:eastAsia="MS Mincho" w:hAnsi="Times New Roman" w:cs="Times New Roman"/>
      <w:sz w:val="26"/>
      <w:szCs w:val="24"/>
      <w:lang w:eastAsia="ru-RU"/>
    </w:rPr>
  </w:style>
  <w:style w:type="paragraph" w:styleId="a6">
    <w:name w:val="List Paragraph"/>
    <w:basedOn w:val="a0"/>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0"/>
    <w:link w:val="a8"/>
    <w:uiPriority w:val="99"/>
    <w:semiHidden/>
    <w:unhideWhenUsed/>
    <w:rsid w:val="00E02D9A"/>
    <w:rPr>
      <w:rFonts w:ascii="Tahoma" w:hAnsi="Tahoma" w:cs="Tahoma"/>
      <w:sz w:val="16"/>
      <w:szCs w:val="16"/>
    </w:rPr>
  </w:style>
  <w:style w:type="character" w:customStyle="1" w:styleId="a8">
    <w:name w:val="Текст выноски Знак"/>
    <w:basedOn w:val="a1"/>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1"/>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
    <w:locked/>
    <w:rsid w:val="00954011"/>
    <w:rPr>
      <w:rFonts w:ascii="Times New Roman" w:eastAsia="Times New Roman" w:hAnsi="Times New Roman" w:cs="Times New Roman"/>
      <w:sz w:val="28"/>
      <w:szCs w:val="20"/>
      <w:lang w:eastAsia="ru-RU"/>
    </w:rPr>
  </w:style>
  <w:style w:type="paragraph" w:styleId="a9">
    <w:name w:val="Normal (Web)"/>
    <w:basedOn w:val="a0"/>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0"/>
    <w:link w:val="20"/>
    <w:rsid w:val="00954011"/>
    <w:pPr>
      <w:spacing w:after="120" w:line="480" w:lineRule="auto"/>
    </w:pPr>
  </w:style>
  <w:style w:type="character" w:customStyle="1" w:styleId="20">
    <w:name w:val="Основной текст 2 Знак"/>
    <w:basedOn w:val="a1"/>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0"/>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1"/>
    <w:link w:val="21"/>
    <w:uiPriority w:val="99"/>
    <w:semiHidden/>
    <w:rsid w:val="004D52B3"/>
    <w:rPr>
      <w:rFonts w:ascii="Times New Roman" w:eastAsia="Times New Roman" w:hAnsi="Times New Roman" w:cs="Times New Roman"/>
      <w:sz w:val="24"/>
      <w:szCs w:val="24"/>
      <w:lang w:eastAsia="ru-RU"/>
    </w:rPr>
  </w:style>
  <w:style w:type="character" w:styleId="aa">
    <w:name w:val="Strong"/>
    <w:basedOn w:val="a1"/>
    <w:uiPriority w:val="22"/>
    <w:qFormat/>
    <w:rsid w:val="00493EE3"/>
    <w:rPr>
      <w:b/>
      <w:bCs/>
    </w:rPr>
  </w:style>
  <w:style w:type="character" w:styleId="ab">
    <w:name w:val="Hyperlink"/>
    <w:basedOn w:val="a1"/>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styleId="a">
    <w:name w:val="List Bullet"/>
    <w:basedOn w:val="a0"/>
    <w:autoRedefine/>
    <w:rsid w:val="00ED6C10"/>
    <w:pPr>
      <w:numPr>
        <w:ilvl w:val="2"/>
        <w:numId w:val="6"/>
      </w:numPr>
      <w:tabs>
        <w:tab w:val="left" w:pos="-567"/>
        <w:tab w:val="left" w:pos="-426"/>
      </w:tabs>
      <w:suppressAutoHyphens/>
      <w:autoSpaceDE w:val="0"/>
      <w:autoSpaceDN w:val="0"/>
      <w:adjustRightInd w:val="0"/>
      <w:ind w:left="0" w:firstLine="709"/>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horevNN@trcon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PerepelitsaAA</cp:lastModifiedBy>
  <cp:revision>8</cp:revision>
  <cp:lastPrinted>2013-12-09T13:00:00Z</cp:lastPrinted>
  <dcterms:created xsi:type="dcterms:W3CDTF">2013-11-22T13:01:00Z</dcterms:created>
  <dcterms:modified xsi:type="dcterms:W3CDTF">2013-12-11T13:19:00Z</dcterms:modified>
</cp:coreProperties>
</file>