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F16DE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A777D">
        <w:rPr>
          <w:b/>
          <w:bCs/>
          <w:szCs w:val="28"/>
        </w:rPr>
        <w:t>54</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CA777D">
        <w:rPr>
          <w:b/>
          <w:bCs/>
          <w:szCs w:val="28"/>
        </w:rPr>
        <w:t>25</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12088A">
            <w:pPr>
              <w:rPr>
                <w:szCs w:val="28"/>
              </w:rPr>
            </w:pPr>
          </w:p>
        </w:tc>
        <w:tc>
          <w:tcPr>
            <w:tcW w:w="2399" w:type="dxa"/>
          </w:tcPr>
          <w:p w:rsidR="0012088A" w:rsidRPr="00161575" w:rsidRDefault="0012088A" w:rsidP="0057231E">
            <w:pPr>
              <w:ind w:left="176" w:hanging="142"/>
              <w:rPr>
                <w:szCs w:val="28"/>
              </w:rPr>
            </w:pPr>
            <w:r w:rsidRPr="00161575">
              <w:rPr>
                <w:szCs w:val="28"/>
              </w:rPr>
              <w:t>- заместитель председателя</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4679A3">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140E88" w:rsidRPr="00161575" w:rsidTr="0057231E">
        <w:trPr>
          <w:trHeight w:val="454"/>
        </w:trPr>
        <w:tc>
          <w:tcPr>
            <w:tcW w:w="2517" w:type="dxa"/>
          </w:tcPr>
          <w:p w:rsidR="00140E88" w:rsidRPr="00161575" w:rsidRDefault="00140E88" w:rsidP="00553631">
            <w:pPr>
              <w:rPr>
                <w:szCs w:val="28"/>
              </w:rPr>
            </w:pPr>
          </w:p>
        </w:tc>
        <w:tc>
          <w:tcPr>
            <w:tcW w:w="4962" w:type="dxa"/>
          </w:tcPr>
          <w:p w:rsidR="00140E88" w:rsidRPr="00161575" w:rsidRDefault="00140E88" w:rsidP="004679A3">
            <w:pPr>
              <w:rPr>
                <w:szCs w:val="28"/>
              </w:rPr>
            </w:pPr>
          </w:p>
        </w:tc>
        <w:tc>
          <w:tcPr>
            <w:tcW w:w="2399" w:type="dxa"/>
          </w:tcPr>
          <w:p w:rsidR="00140E88" w:rsidRPr="00161575" w:rsidRDefault="00140E88"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637A6" w:rsidRPr="00161575" w:rsidTr="0057231E">
        <w:trPr>
          <w:trHeight w:val="454"/>
        </w:trPr>
        <w:tc>
          <w:tcPr>
            <w:tcW w:w="2517" w:type="dxa"/>
          </w:tcPr>
          <w:p w:rsidR="006637A6" w:rsidRPr="00161575" w:rsidRDefault="006637A6" w:rsidP="00553631">
            <w:pPr>
              <w:rPr>
                <w:szCs w:val="28"/>
              </w:rPr>
            </w:pPr>
          </w:p>
        </w:tc>
        <w:tc>
          <w:tcPr>
            <w:tcW w:w="4962" w:type="dxa"/>
          </w:tcPr>
          <w:p w:rsidR="006637A6" w:rsidRPr="00161575" w:rsidRDefault="006637A6" w:rsidP="004679A3">
            <w:pPr>
              <w:rPr>
                <w:szCs w:val="28"/>
              </w:rPr>
            </w:pPr>
          </w:p>
        </w:tc>
        <w:tc>
          <w:tcPr>
            <w:tcW w:w="2399" w:type="dxa"/>
          </w:tcPr>
          <w:p w:rsidR="006637A6" w:rsidRPr="00161575" w:rsidRDefault="006637A6"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C37251" w:rsidRDefault="00C37251" w:rsidP="005F410F">
      <w:pPr>
        <w:pStyle w:val="a6"/>
        <w:tabs>
          <w:tab w:val="left" w:pos="142"/>
          <w:tab w:val="left" w:pos="709"/>
          <w:tab w:val="left" w:pos="2800"/>
          <w:tab w:val="left" w:pos="7700"/>
        </w:tabs>
        <w:ind w:firstLine="709"/>
        <w:jc w:val="left"/>
        <w:rPr>
          <w:b/>
          <w:i w:val="0"/>
          <w:u w:val="single"/>
        </w:rPr>
      </w:pPr>
    </w:p>
    <w:p w:rsidR="00386527" w:rsidRDefault="00386527"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CA777D" w:rsidRPr="00D3372B" w:rsidRDefault="00D3372B" w:rsidP="00CA777D">
      <w:pPr>
        <w:ind w:left="720"/>
        <w:jc w:val="both"/>
        <w:rPr>
          <w:lang w:val="en-US"/>
        </w:rPr>
      </w:pPr>
      <w:r>
        <w:rPr>
          <w:szCs w:val="28"/>
          <w:lang w:val="en-US"/>
        </w:rPr>
        <w:t>….</w:t>
      </w:r>
    </w:p>
    <w:p w:rsidR="00CA777D" w:rsidRDefault="00CA777D" w:rsidP="00CA777D">
      <w:pPr>
        <w:ind w:left="720"/>
        <w:jc w:val="both"/>
        <w:rPr>
          <w:szCs w:val="28"/>
        </w:rPr>
      </w:pPr>
    </w:p>
    <w:p w:rsidR="00CA777D" w:rsidRPr="000D4F6B" w:rsidRDefault="00CA777D" w:rsidP="00CA777D">
      <w:pPr>
        <w:numPr>
          <w:ilvl w:val="0"/>
          <w:numId w:val="2"/>
        </w:numPr>
        <w:ind w:left="720"/>
        <w:jc w:val="both"/>
        <w:rPr>
          <w:b/>
          <w:color w:val="000000"/>
          <w:sz w:val="32"/>
          <w:szCs w:val="32"/>
        </w:rPr>
      </w:pPr>
      <w:r>
        <w:rPr>
          <w:szCs w:val="28"/>
        </w:rPr>
        <w:t>Подведение итогов з</w:t>
      </w:r>
      <w:r w:rsidRPr="000D4F6B">
        <w:rPr>
          <w:szCs w:val="28"/>
        </w:rPr>
        <w:t>апрос</w:t>
      </w:r>
      <w:r>
        <w:rPr>
          <w:szCs w:val="28"/>
        </w:rPr>
        <w:t>а</w:t>
      </w:r>
      <w:r w:rsidRPr="000D4F6B">
        <w:rPr>
          <w:szCs w:val="28"/>
        </w:rPr>
        <w:t xml:space="preserve"> предложений</w:t>
      </w:r>
      <w:r>
        <w:rPr>
          <w:szCs w:val="28"/>
        </w:rPr>
        <w:t xml:space="preserve"> </w:t>
      </w:r>
      <w:r w:rsidRPr="000D4F6B">
        <w:rPr>
          <w:szCs w:val="28"/>
        </w:rPr>
        <w:t>на право заключения</w:t>
      </w:r>
      <w:r w:rsidRPr="00017C04">
        <w:rPr>
          <w:szCs w:val="28"/>
        </w:rPr>
        <w:t xml:space="preserve"> договора </w:t>
      </w:r>
      <w:r w:rsidRPr="000A7B7E">
        <w:rPr>
          <w:szCs w:val="28"/>
        </w:rPr>
        <w:t xml:space="preserve"> </w:t>
      </w:r>
      <w:r w:rsidRPr="00344676">
        <w:rPr>
          <w:szCs w:val="28"/>
        </w:rPr>
        <w:t xml:space="preserve">на выполнение работ по </w:t>
      </w:r>
      <w:r>
        <w:rPr>
          <w:szCs w:val="28"/>
        </w:rPr>
        <w:t>реконструкции кранового пути № </w:t>
      </w:r>
      <w:r w:rsidRPr="003E230C">
        <w:rPr>
          <w:szCs w:val="28"/>
        </w:rPr>
        <w:t>1.1 (инв. 00000150) агентства на станции Придача филиала ОАО</w:t>
      </w:r>
      <w:r>
        <w:rPr>
          <w:szCs w:val="28"/>
        </w:rPr>
        <w:t xml:space="preserve"> «ТрансКонтейнер» на </w:t>
      </w:r>
      <w:r w:rsidRPr="003E230C">
        <w:rPr>
          <w:szCs w:val="28"/>
        </w:rPr>
        <w:t>Юго-Восточной железной дороге</w:t>
      </w:r>
      <w:r w:rsidRPr="00344676">
        <w:rPr>
          <w:szCs w:val="28"/>
        </w:rPr>
        <w:t xml:space="preserve"> в </w:t>
      </w:r>
      <w:r w:rsidRPr="00344676">
        <w:rPr>
          <w:szCs w:val="28"/>
          <w:lang w:val="en-US"/>
        </w:rPr>
        <w:t>IV</w:t>
      </w:r>
      <w:r w:rsidRPr="00344676">
        <w:rPr>
          <w:szCs w:val="28"/>
        </w:rPr>
        <w:t xml:space="preserve"> квартале 2013 года.</w:t>
      </w:r>
    </w:p>
    <w:p w:rsidR="00CA777D" w:rsidRPr="00BE4A60" w:rsidRDefault="00CA777D" w:rsidP="00CA777D">
      <w:pPr>
        <w:ind w:left="720"/>
        <w:jc w:val="both"/>
      </w:pPr>
      <w:r w:rsidRPr="00BE4A60">
        <w:t>Докладчик: ЦКПЗС Жихорев Н.Н.</w:t>
      </w:r>
    </w:p>
    <w:p w:rsidR="00CA777D" w:rsidRPr="00BE4A60" w:rsidRDefault="00CA777D" w:rsidP="00CA777D">
      <w:pPr>
        <w:ind w:left="720"/>
        <w:jc w:val="both"/>
      </w:pPr>
      <w:r w:rsidRPr="00BE4A60">
        <w:t xml:space="preserve">Заявка в АСБК: </w:t>
      </w:r>
      <w:r>
        <w:t>Т10037336</w:t>
      </w:r>
    </w:p>
    <w:p w:rsidR="00CA777D" w:rsidRPr="00BE4A60" w:rsidRDefault="00CA777D" w:rsidP="00CA777D">
      <w:pPr>
        <w:ind w:left="720"/>
        <w:jc w:val="both"/>
      </w:pPr>
      <w:r w:rsidRPr="00BE4A60">
        <w:rPr>
          <w:color w:val="000000"/>
          <w:lang/>
        </w:rPr>
        <w:t>Конкурс:</w:t>
      </w:r>
      <w:r w:rsidRPr="00BE4A60">
        <w:rPr>
          <w:color w:val="000000"/>
          <w:lang/>
        </w:rPr>
        <w:t xml:space="preserve"> </w:t>
      </w:r>
      <w:r w:rsidRPr="000D4F6B">
        <w:rPr>
          <w:color w:val="000000"/>
          <w:szCs w:val="28"/>
        </w:rPr>
        <w:t>ЗП/029/ЦКПЗС/0123</w:t>
      </w:r>
    </w:p>
    <w:p w:rsidR="00CA777D" w:rsidRDefault="00CA777D" w:rsidP="00CA777D">
      <w:pPr>
        <w:ind w:left="720"/>
        <w:jc w:val="both"/>
        <w:rPr>
          <w:szCs w:val="28"/>
        </w:rPr>
      </w:pPr>
    </w:p>
    <w:p w:rsidR="00357F53" w:rsidRDefault="00D3372B" w:rsidP="002933EA">
      <w:pPr>
        <w:ind w:firstLine="709"/>
        <w:jc w:val="both"/>
        <w:rPr>
          <w:szCs w:val="28"/>
          <w:lang w:val="en-US"/>
        </w:rPr>
      </w:pPr>
      <w:r>
        <w:rPr>
          <w:szCs w:val="28"/>
          <w:lang w:val="en-US"/>
        </w:rPr>
        <w:t>….</w:t>
      </w:r>
    </w:p>
    <w:p w:rsidR="00D3372B" w:rsidRPr="00D3372B" w:rsidRDefault="00D3372B" w:rsidP="002933EA">
      <w:pPr>
        <w:ind w:firstLine="709"/>
        <w:jc w:val="both"/>
        <w:rPr>
          <w:szCs w:val="28"/>
          <w:lang w:val="en-US"/>
        </w:rPr>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BD7C81" w:rsidRPr="002933EA" w:rsidRDefault="00BD7C81" w:rsidP="002933EA">
      <w:pPr>
        <w:pStyle w:val="ad"/>
        <w:numPr>
          <w:ilvl w:val="0"/>
          <w:numId w:val="30"/>
        </w:numPr>
        <w:ind w:left="0" w:firstLine="709"/>
        <w:jc w:val="both"/>
        <w:rPr>
          <w:b/>
          <w:color w:val="000000"/>
          <w:sz w:val="32"/>
          <w:szCs w:val="32"/>
        </w:rPr>
      </w:pPr>
      <w:r>
        <w:rPr>
          <w:szCs w:val="28"/>
        </w:rPr>
        <w:t>З</w:t>
      </w:r>
      <w:r w:rsidRPr="00BD7C81">
        <w:rPr>
          <w:szCs w:val="28"/>
        </w:rPr>
        <w:t xml:space="preserve">апрос предложений </w:t>
      </w:r>
      <w:r>
        <w:rPr>
          <w:szCs w:val="28"/>
        </w:rPr>
        <w:t>№</w:t>
      </w:r>
      <w:r w:rsidRPr="00BD7C81">
        <w:rPr>
          <w:color w:val="000000"/>
          <w:szCs w:val="28"/>
        </w:rPr>
        <w:t xml:space="preserve"> </w:t>
      </w:r>
      <w:r w:rsidRPr="000D4F6B">
        <w:rPr>
          <w:color w:val="000000"/>
          <w:szCs w:val="28"/>
        </w:rPr>
        <w:t>ЗП/029/ЦКПЗС/0123</w:t>
      </w:r>
      <w:r>
        <w:rPr>
          <w:szCs w:val="28"/>
        </w:rPr>
        <w:t xml:space="preserve"> </w:t>
      </w:r>
      <w:r w:rsidRPr="00BD7C81">
        <w:rPr>
          <w:szCs w:val="28"/>
        </w:rPr>
        <w:t xml:space="preserve">на право заключения </w:t>
      </w:r>
      <w:proofErr w:type="gramStart"/>
      <w:r w:rsidRPr="00BD7C81">
        <w:rPr>
          <w:szCs w:val="28"/>
        </w:rPr>
        <w:t>договора</w:t>
      </w:r>
      <w:proofErr w:type="gramEnd"/>
      <w:r w:rsidRPr="00BD7C81">
        <w:rPr>
          <w:szCs w:val="28"/>
        </w:rPr>
        <w:t xml:space="preserve">  на выполнение работ по реконструкции кранового пути № 1.1 (инв. 00000150) агентства на станции Придача филиала ОАО</w:t>
      </w:r>
      <w:r w:rsidRPr="003940EC">
        <w:rPr>
          <w:szCs w:val="28"/>
        </w:rPr>
        <w:t xml:space="preserve"> «ТрансКонтейнер» на Юго-Восточной железной дороге в </w:t>
      </w:r>
      <w:r w:rsidRPr="003940EC">
        <w:rPr>
          <w:szCs w:val="28"/>
          <w:lang w:val="en-US"/>
        </w:rPr>
        <w:t>IV</w:t>
      </w:r>
      <w:r w:rsidRPr="003940EC">
        <w:rPr>
          <w:szCs w:val="28"/>
        </w:rPr>
        <w:t xml:space="preserve"> квартале 2013 года</w:t>
      </w:r>
      <w:r>
        <w:rPr>
          <w:szCs w:val="28"/>
        </w:rPr>
        <w:t xml:space="preserve"> признан состоявшимся</w:t>
      </w:r>
      <w:r w:rsidR="002D69E9">
        <w:rPr>
          <w:szCs w:val="28"/>
        </w:rPr>
        <w:t>.</w:t>
      </w:r>
    </w:p>
    <w:p w:rsidR="002D69E9" w:rsidRPr="002933EA" w:rsidRDefault="002D69E9" w:rsidP="003940EC">
      <w:pPr>
        <w:pStyle w:val="ad"/>
        <w:numPr>
          <w:ilvl w:val="0"/>
          <w:numId w:val="30"/>
        </w:numPr>
        <w:ind w:left="0" w:firstLine="709"/>
        <w:jc w:val="both"/>
        <w:rPr>
          <w:b/>
          <w:color w:val="000000"/>
          <w:sz w:val="32"/>
          <w:szCs w:val="32"/>
        </w:rPr>
      </w:pPr>
      <w:r w:rsidRPr="002933EA">
        <w:rPr>
          <w:szCs w:val="28"/>
        </w:rPr>
        <w:lastRenderedPageBreak/>
        <w:t xml:space="preserve">Согласиться с выводами и предложениями Постоянной рабочей группы Конкурсной комиссии аппарата управления (Протокол № </w:t>
      </w:r>
      <w:r w:rsidR="00BD4D3D">
        <w:rPr>
          <w:szCs w:val="28"/>
        </w:rPr>
        <w:t>59.2</w:t>
      </w:r>
      <w:r w:rsidRPr="002933EA">
        <w:rPr>
          <w:szCs w:val="28"/>
        </w:rPr>
        <w:t xml:space="preserve">/ПРГ заседания, состоявшегося </w:t>
      </w:r>
      <w:r>
        <w:rPr>
          <w:szCs w:val="28"/>
        </w:rPr>
        <w:t>18</w:t>
      </w:r>
      <w:r w:rsidRPr="002933EA">
        <w:rPr>
          <w:szCs w:val="28"/>
        </w:rPr>
        <w:t xml:space="preserve"> декабря 2013 г.) в части принятия решения допустить к участию в </w:t>
      </w:r>
      <w:r w:rsidR="004038E3">
        <w:rPr>
          <w:szCs w:val="28"/>
        </w:rPr>
        <w:t>з</w:t>
      </w:r>
      <w:r w:rsidR="004038E3" w:rsidRPr="00BD7C81">
        <w:rPr>
          <w:szCs w:val="28"/>
        </w:rPr>
        <w:t>апрос</w:t>
      </w:r>
      <w:r w:rsidR="004038E3">
        <w:rPr>
          <w:szCs w:val="28"/>
        </w:rPr>
        <w:t>е</w:t>
      </w:r>
      <w:r w:rsidR="004038E3" w:rsidRPr="00BD7C81">
        <w:rPr>
          <w:szCs w:val="28"/>
        </w:rPr>
        <w:t xml:space="preserve"> предложений</w:t>
      </w:r>
      <w:r w:rsidRPr="002933EA">
        <w:rPr>
          <w:szCs w:val="28"/>
        </w:rPr>
        <w:t xml:space="preserve"> </w:t>
      </w:r>
      <w:r w:rsidR="003940EC" w:rsidRPr="002933EA">
        <w:rPr>
          <w:szCs w:val="28"/>
        </w:rPr>
        <w:t>ЗАО НПО «</w:t>
      </w:r>
      <w:proofErr w:type="spellStart"/>
      <w:r w:rsidR="003940EC" w:rsidRPr="002933EA">
        <w:rPr>
          <w:szCs w:val="28"/>
        </w:rPr>
        <w:t>СпецМаш</w:t>
      </w:r>
      <w:proofErr w:type="spellEnd"/>
      <w:r w:rsidR="003940EC" w:rsidRPr="002933EA">
        <w:rPr>
          <w:szCs w:val="28"/>
        </w:rPr>
        <w:t xml:space="preserve">», </w:t>
      </w:r>
      <w:r w:rsidR="003940EC">
        <w:rPr>
          <w:szCs w:val="28"/>
        </w:rPr>
        <w:t xml:space="preserve">                                          </w:t>
      </w:r>
      <w:r w:rsidR="003940EC" w:rsidRPr="003940EC">
        <w:rPr>
          <w:szCs w:val="28"/>
        </w:rPr>
        <w:t>ООО</w:t>
      </w:r>
      <w:r w:rsidR="003940EC" w:rsidRPr="007A7EDD">
        <w:t xml:space="preserve"> «</w:t>
      </w:r>
      <w:r w:rsidR="003940EC">
        <w:t>ИЦ «Диагност-Т</w:t>
      </w:r>
      <w:r w:rsidR="003940EC" w:rsidRPr="007A7EDD">
        <w:t>»</w:t>
      </w:r>
      <w:r w:rsidR="003940EC">
        <w:t>.</w:t>
      </w:r>
    </w:p>
    <w:p w:rsidR="003940EC" w:rsidRDefault="00520A34" w:rsidP="002933EA">
      <w:pPr>
        <w:pStyle w:val="ad"/>
        <w:numPr>
          <w:ilvl w:val="0"/>
          <w:numId w:val="30"/>
        </w:numPr>
        <w:ind w:left="0" w:firstLine="709"/>
        <w:jc w:val="both"/>
        <w:rPr>
          <w:szCs w:val="28"/>
        </w:rPr>
      </w:pPr>
      <w:r w:rsidRPr="002933EA">
        <w:rPr>
          <w:szCs w:val="28"/>
        </w:rPr>
        <w:t>Согласи</w:t>
      </w:r>
      <w:r>
        <w:rPr>
          <w:szCs w:val="28"/>
        </w:rPr>
        <w:t>т</w:t>
      </w:r>
      <w:r w:rsidRPr="002933EA">
        <w:rPr>
          <w:szCs w:val="28"/>
        </w:rPr>
        <w:t>ь</w:t>
      </w:r>
      <w:r>
        <w:rPr>
          <w:szCs w:val="28"/>
        </w:rPr>
        <w:t>ся</w:t>
      </w:r>
      <w:r w:rsidRPr="002933EA">
        <w:rPr>
          <w:szCs w:val="28"/>
        </w:rPr>
        <w:t xml:space="preserve"> </w:t>
      </w:r>
      <w:r w:rsidR="003940EC" w:rsidRPr="002933EA">
        <w:rPr>
          <w:szCs w:val="28"/>
        </w:rPr>
        <w:t xml:space="preserve">с выводами и предложениями Постоянной рабочей группы Конкурсной комиссии аппарата управления (Протокол № </w:t>
      </w:r>
      <w:r w:rsidR="00BD4D3D">
        <w:rPr>
          <w:szCs w:val="28"/>
        </w:rPr>
        <w:t>59.2</w:t>
      </w:r>
      <w:r w:rsidR="003940EC" w:rsidRPr="002933EA">
        <w:rPr>
          <w:szCs w:val="28"/>
        </w:rPr>
        <w:t xml:space="preserve">/ПРГ заседания, состоявшегося  </w:t>
      </w:r>
      <w:r w:rsidR="003940EC">
        <w:rPr>
          <w:szCs w:val="28"/>
        </w:rPr>
        <w:t>18</w:t>
      </w:r>
      <w:r w:rsidR="003940EC" w:rsidRPr="002933EA">
        <w:rPr>
          <w:szCs w:val="28"/>
        </w:rPr>
        <w:t xml:space="preserve"> декабря 2013 г.) </w:t>
      </w:r>
      <w:r>
        <w:rPr>
          <w:szCs w:val="28"/>
        </w:rPr>
        <w:t xml:space="preserve">в части определения победителя запроса предложений и принять </w:t>
      </w:r>
      <w:r w:rsidR="003940EC" w:rsidRPr="00253F13">
        <w:rPr>
          <w:szCs w:val="28"/>
        </w:rPr>
        <w:t xml:space="preserve">решение признать победителем </w:t>
      </w:r>
      <w:r w:rsidR="004038E3">
        <w:rPr>
          <w:szCs w:val="28"/>
        </w:rPr>
        <w:t>запроса предложений</w:t>
      </w:r>
      <w:r w:rsidR="004038E3" w:rsidRPr="00253F13" w:rsidDel="004038E3">
        <w:rPr>
          <w:szCs w:val="28"/>
        </w:rPr>
        <w:t xml:space="preserve"> </w:t>
      </w:r>
      <w:bookmarkStart w:id="0" w:name="_GoBack"/>
      <w:bookmarkEnd w:id="0"/>
      <w:r w:rsidR="00BD7020" w:rsidRPr="002933EA">
        <w:rPr>
          <w:szCs w:val="28"/>
        </w:rPr>
        <w:t>ООО НПО «</w:t>
      </w:r>
      <w:proofErr w:type="spellStart"/>
      <w:r w:rsidR="00BD7020" w:rsidRPr="002933EA">
        <w:rPr>
          <w:szCs w:val="28"/>
        </w:rPr>
        <w:t>СпецМаш</w:t>
      </w:r>
      <w:proofErr w:type="spellEnd"/>
      <w:r w:rsidR="00BD7020" w:rsidRPr="002933EA">
        <w:rPr>
          <w:szCs w:val="28"/>
        </w:rPr>
        <w:t>»</w:t>
      </w:r>
      <w:r w:rsidR="003940EC" w:rsidRPr="00253F13">
        <w:rPr>
          <w:sz w:val="24"/>
          <w:szCs w:val="24"/>
        </w:rPr>
        <w:t xml:space="preserve"> </w:t>
      </w:r>
      <w:r w:rsidR="003940EC" w:rsidRPr="002B3D80">
        <w:rPr>
          <w:szCs w:val="28"/>
        </w:rPr>
        <w:t xml:space="preserve">и </w:t>
      </w:r>
      <w:r w:rsidR="003940EC" w:rsidRPr="00AA32C9">
        <w:rPr>
          <w:szCs w:val="28"/>
        </w:rPr>
        <w:t>заключить с ним договор на следующих условиях:</w:t>
      </w:r>
    </w:p>
    <w:p w:rsidR="00BD7020" w:rsidRPr="002933EA" w:rsidRDefault="00BD7020" w:rsidP="002933EA">
      <w:pPr>
        <w:ind w:firstLine="642"/>
        <w:jc w:val="both"/>
        <w:rPr>
          <w:szCs w:val="28"/>
        </w:rPr>
      </w:pPr>
      <w:r w:rsidRPr="002933EA">
        <w:rPr>
          <w:b/>
          <w:szCs w:val="28"/>
        </w:rPr>
        <w:t>Предмет договора:</w:t>
      </w:r>
      <w:r w:rsidRPr="002933EA">
        <w:rPr>
          <w:szCs w:val="28"/>
        </w:rPr>
        <w:t xml:space="preserve"> выполнение работ по реконструкции кранового пути № 1.1 (инв. 00000150) агентства на станции Придача филиала ОАО «ТрансКонтейнер» на Юго-Восточной железной дороге.</w:t>
      </w:r>
    </w:p>
    <w:p w:rsidR="00BD7020" w:rsidRPr="002933EA" w:rsidRDefault="00BD7020" w:rsidP="002933EA">
      <w:pPr>
        <w:ind w:firstLine="642"/>
        <w:jc w:val="both"/>
        <w:outlineLvl w:val="0"/>
        <w:rPr>
          <w:b/>
          <w:bCs/>
          <w:szCs w:val="28"/>
        </w:rPr>
      </w:pPr>
      <w:r w:rsidRPr="002933EA">
        <w:rPr>
          <w:b/>
          <w:szCs w:val="28"/>
        </w:rPr>
        <w:t xml:space="preserve">Объем работ по договору: </w:t>
      </w:r>
      <w:r w:rsidRPr="002933EA">
        <w:rPr>
          <w:szCs w:val="28"/>
        </w:rPr>
        <w:t>в соответствии с ведомостью объемов работ</w:t>
      </w:r>
      <w:r w:rsidRPr="002933EA">
        <w:rPr>
          <w:b/>
          <w:szCs w:val="28"/>
        </w:rPr>
        <w:t xml:space="preserve"> </w:t>
      </w:r>
      <w:r w:rsidRPr="002933EA">
        <w:rPr>
          <w:szCs w:val="28"/>
        </w:rPr>
        <w:t>(Приложение №</w:t>
      </w:r>
      <w:r>
        <w:rPr>
          <w:szCs w:val="28"/>
        </w:rPr>
        <w:t>2</w:t>
      </w:r>
      <w:r w:rsidRPr="002933EA">
        <w:rPr>
          <w:szCs w:val="28"/>
        </w:rPr>
        <w:t xml:space="preserve"> к настоящему Протоколу). </w:t>
      </w:r>
    </w:p>
    <w:p w:rsidR="00BD7020" w:rsidRPr="002933EA" w:rsidRDefault="00BD7020" w:rsidP="002933EA">
      <w:pPr>
        <w:ind w:firstLine="642"/>
        <w:jc w:val="both"/>
        <w:rPr>
          <w:szCs w:val="28"/>
        </w:rPr>
      </w:pPr>
      <w:r w:rsidRPr="002933EA">
        <w:rPr>
          <w:b/>
          <w:szCs w:val="28"/>
        </w:rPr>
        <w:t>Цена договора:</w:t>
      </w:r>
      <w:r w:rsidRPr="002933EA">
        <w:rPr>
          <w:szCs w:val="28"/>
        </w:rPr>
        <w:t xml:space="preserve"> 3 099 666,00</w:t>
      </w:r>
      <w:r w:rsidRPr="00BD7020">
        <w:rPr>
          <w:szCs w:val="28"/>
        </w:rPr>
        <w:t xml:space="preserve"> </w:t>
      </w:r>
      <w:r w:rsidRPr="002933EA">
        <w:rPr>
          <w:szCs w:val="28"/>
        </w:rPr>
        <w:t>руб. (Три миллиона девяносто девять тысяч шестьсот шестьдесят шесть рублей 00 копеек) без учета НДС. НДС по ставке 18% начисляется отдельно.</w:t>
      </w:r>
    </w:p>
    <w:p w:rsidR="00BD7020" w:rsidRPr="002933EA" w:rsidRDefault="00BD7020" w:rsidP="002933EA">
      <w:pPr>
        <w:ind w:firstLine="642"/>
        <w:jc w:val="both"/>
        <w:rPr>
          <w:szCs w:val="28"/>
        </w:rPr>
      </w:pPr>
      <w:r w:rsidRPr="002933EA">
        <w:rPr>
          <w:b/>
          <w:szCs w:val="28"/>
        </w:rPr>
        <w:t>Условия оплаты:</w:t>
      </w:r>
      <w:r w:rsidRPr="002933EA">
        <w:rPr>
          <w:szCs w:val="28"/>
        </w:rPr>
        <w:t xml:space="preserve"> аванс в размере 18% от стоимости работ выплачивается в </w:t>
      </w:r>
      <w:r w:rsidR="00BD4D3D" w:rsidRPr="002933EA">
        <w:rPr>
          <w:szCs w:val="28"/>
        </w:rPr>
        <w:t>течение</w:t>
      </w:r>
      <w:r w:rsidR="00BD4D3D">
        <w:rPr>
          <w:szCs w:val="28"/>
        </w:rPr>
        <w:t xml:space="preserve"> </w:t>
      </w:r>
      <w:r w:rsidRPr="002933EA">
        <w:rPr>
          <w:szCs w:val="28"/>
        </w:rPr>
        <w:t>5 (пяти) банковских дней с даты подписания Договора. Окончательный расчет за выполненные работы производится Заказчиком путем перечисления денежных средств на расчетный счет Исполнителя после подписания актов сдачи-приемки выполненных работ по форме КС-2, КС-3 в течение 10 (десяти) банковских дней  с даты получения счета и счета-фактуры.</w:t>
      </w:r>
    </w:p>
    <w:p w:rsidR="00BD7020" w:rsidRPr="002933EA" w:rsidRDefault="00BD7020" w:rsidP="002933EA">
      <w:pPr>
        <w:ind w:firstLine="642"/>
        <w:jc w:val="both"/>
        <w:rPr>
          <w:szCs w:val="28"/>
        </w:rPr>
      </w:pPr>
      <w:r w:rsidRPr="002933EA">
        <w:rPr>
          <w:b/>
          <w:szCs w:val="28"/>
        </w:rPr>
        <w:t xml:space="preserve">Срок выполнения работ: </w:t>
      </w:r>
      <w:r w:rsidRPr="002933EA">
        <w:rPr>
          <w:szCs w:val="28"/>
          <w:lang w:val="en-US"/>
        </w:rPr>
        <w:t>IV</w:t>
      </w:r>
      <w:r w:rsidRPr="002933EA">
        <w:rPr>
          <w:szCs w:val="28"/>
        </w:rPr>
        <w:t xml:space="preserve"> квартал 2013</w:t>
      </w:r>
      <w:r w:rsidR="004E3250">
        <w:rPr>
          <w:szCs w:val="28"/>
        </w:rPr>
        <w:t xml:space="preserve"> </w:t>
      </w:r>
      <w:proofErr w:type="gramStart"/>
      <w:r w:rsidRPr="002933EA">
        <w:rPr>
          <w:szCs w:val="28"/>
        </w:rPr>
        <w:t>г.,</w:t>
      </w:r>
      <w:proofErr w:type="gramEnd"/>
      <w:r w:rsidRPr="002933EA">
        <w:rPr>
          <w:szCs w:val="28"/>
        </w:rPr>
        <w:t xml:space="preserve"> но не позднее 31 декабря 2013</w:t>
      </w:r>
      <w:r w:rsidR="00BD4D3D">
        <w:rPr>
          <w:szCs w:val="28"/>
        </w:rPr>
        <w:t xml:space="preserve"> </w:t>
      </w:r>
      <w:r w:rsidRPr="002933EA">
        <w:rPr>
          <w:szCs w:val="28"/>
        </w:rPr>
        <w:t>г.</w:t>
      </w:r>
    </w:p>
    <w:p w:rsidR="00BD7020" w:rsidRPr="002933EA" w:rsidRDefault="00BD7020" w:rsidP="002933EA">
      <w:pPr>
        <w:ind w:firstLine="642"/>
        <w:jc w:val="both"/>
        <w:rPr>
          <w:b/>
          <w:szCs w:val="28"/>
        </w:rPr>
      </w:pPr>
      <w:r w:rsidRPr="002933EA">
        <w:rPr>
          <w:b/>
          <w:szCs w:val="28"/>
        </w:rPr>
        <w:t>Срок действия договора:</w:t>
      </w:r>
      <w:r w:rsidRPr="002933EA">
        <w:rPr>
          <w:szCs w:val="28"/>
        </w:rPr>
        <w:t xml:space="preserve"> договор вступает в силу с даты подписания его  сторонами и действует до полного исполнения сторонами своих обязательств.</w:t>
      </w:r>
    </w:p>
    <w:p w:rsidR="00BD7020" w:rsidRPr="002933EA" w:rsidRDefault="00BD7020" w:rsidP="002933EA">
      <w:pPr>
        <w:ind w:firstLine="642"/>
        <w:jc w:val="both"/>
        <w:rPr>
          <w:szCs w:val="28"/>
        </w:rPr>
      </w:pPr>
      <w:r w:rsidRPr="002933EA">
        <w:rPr>
          <w:b/>
          <w:szCs w:val="28"/>
        </w:rPr>
        <w:t>Гарантийный срок</w:t>
      </w:r>
      <w:r w:rsidRPr="002933EA">
        <w:rPr>
          <w:szCs w:val="28"/>
        </w:rPr>
        <w:t xml:space="preserve"> на результаты работ – 24 месяца с даты подписания акта выполненных работ.</w:t>
      </w:r>
    </w:p>
    <w:p w:rsidR="00BD7020" w:rsidRPr="00F07622" w:rsidRDefault="00BD7020" w:rsidP="00BD7020">
      <w:pPr>
        <w:ind w:firstLine="642"/>
        <w:jc w:val="both"/>
        <w:rPr>
          <w:szCs w:val="28"/>
        </w:rPr>
      </w:pPr>
      <w:r w:rsidRPr="00F07622">
        <w:rPr>
          <w:b/>
          <w:szCs w:val="28"/>
        </w:rPr>
        <w:t>Место выполнения работ:</w:t>
      </w:r>
      <w:r w:rsidRPr="00F07622">
        <w:rPr>
          <w:szCs w:val="28"/>
        </w:rPr>
        <w:t xml:space="preserve"> </w:t>
      </w:r>
      <w:r w:rsidRPr="00F07622">
        <w:rPr>
          <w:rFonts w:eastAsia="MS Mincho"/>
          <w:szCs w:val="28"/>
        </w:rPr>
        <w:t xml:space="preserve">Российская Федерация,  </w:t>
      </w:r>
      <w:r w:rsidRPr="00F07622">
        <w:rPr>
          <w:szCs w:val="28"/>
        </w:rPr>
        <w:t>г. Воронеж, станция Придача</w:t>
      </w:r>
      <w:r w:rsidRPr="00F07622">
        <w:rPr>
          <w:rFonts w:eastAsia="MS Mincho"/>
          <w:bCs/>
          <w:szCs w:val="28"/>
        </w:rPr>
        <w:t>.</w:t>
      </w:r>
    </w:p>
    <w:p w:rsidR="00BD7020" w:rsidRPr="00C92703" w:rsidRDefault="00BD7020" w:rsidP="002933EA">
      <w:pPr>
        <w:ind w:firstLine="709"/>
        <w:jc w:val="both"/>
      </w:pPr>
      <w:r w:rsidRPr="002933EA">
        <w:rPr>
          <w:szCs w:val="28"/>
        </w:rPr>
        <w:t>4.</w:t>
      </w:r>
      <w:r>
        <w:rPr>
          <w:b/>
          <w:szCs w:val="28"/>
        </w:rPr>
        <w:t xml:space="preserve"> </w:t>
      </w:r>
      <w:r w:rsidRPr="00C92703">
        <w:t xml:space="preserve">Поручить директору филиала ОАО «ТрансКонтейнер» на </w:t>
      </w:r>
      <w:r>
        <w:rPr>
          <w:szCs w:val="28"/>
        </w:rPr>
        <w:t>Юго-Восточной</w:t>
      </w:r>
      <w:r w:rsidRPr="00C92703">
        <w:t xml:space="preserve"> железной дороге</w:t>
      </w:r>
      <w:r>
        <w:t xml:space="preserve"> </w:t>
      </w:r>
      <w:proofErr w:type="spellStart"/>
      <w:r>
        <w:t>Рамазанову</w:t>
      </w:r>
      <w:proofErr w:type="spellEnd"/>
      <w:r>
        <w:t xml:space="preserve"> М.Р.</w:t>
      </w:r>
      <w:r w:rsidRPr="00C92703">
        <w:t>:</w:t>
      </w:r>
    </w:p>
    <w:p w:rsidR="00BD7020" w:rsidRDefault="00BD7020" w:rsidP="00BD7020">
      <w:pPr>
        <w:ind w:firstLine="709"/>
        <w:jc w:val="both"/>
        <w:rPr>
          <w:szCs w:val="28"/>
        </w:rPr>
      </w:pPr>
      <w:r>
        <w:rPr>
          <w:szCs w:val="28"/>
        </w:rPr>
        <w:t xml:space="preserve">4.1 </w:t>
      </w:r>
      <w:r w:rsidRPr="00216964">
        <w:rPr>
          <w:szCs w:val="28"/>
        </w:rPr>
        <w:t>направить уведомление</w:t>
      </w:r>
      <w:r w:rsidRPr="00216964">
        <w:t xml:space="preserve"> </w:t>
      </w:r>
      <w:r w:rsidRPr="00F07622">
        <w:rPr>
          <w:szCs w:val="28"/>
        </w:rPr>
        <w:t>ООО НПО «</w:t>
      </w:r>
      <w:proofErr w:type="spellStart"/>
      <w:r w:rsidRPr="00F07622">
        <w:rPr>
          <w:szCs w:val="28"/>
        </w:rPr>
        <w:t>СпецМаш</w:t>
      </w:r>
      <w:proofErr w:type="spellEnd"/>
      <w:r w:rsidRPr="00F07622">
        <w:rPr>
          <w:szCs w:val="28"/>
        </w:rPr>
        <w:t>»</w:t>
      </w:r>
      <w:r w:rsidRPr="00216964">
        <w:rPr>
          <w:szCs w:val="28"/>
        </w:rPr>
        <w:t xml:space="preserve"> о принятом Конкурсной комиссией ОАО «ТрансКонтейнер» решении с приглашением заключить договор;</w:t>
      </w:r>
    </w:p>
    <w:p w:rsidR="00BD7020" w:rsidRPr="00216964" w:rsidRDefault="00BD7020" w:rsidP="00BD7020">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F07622">
        <w:rPr>
          <w:szCs w:val="28"/>
        </w:rPr>
        <w:t>ООО НПО «</w:t>
      </w:r>
      <w:proofErr w:type="spellStart"/>
      <w:r w:rsidRPr="00F07622">
        <w:rPr>
          <w:szCs w:val="28"/>
        </w:rPr>
        <w:t>СпецМаш</w:t>
      </w:r>
      <w:proofErr w:type="spellEnd"/>
      <w:r w:rsidRPr="00F07622">
        <w:rPr>
          <w:szCs w:val="28"/>
        </w:rPr>
        <w:t>»</w:t>
      </w:r>
      <w:r>
        <w:rPr>
          <w:snapToGrid w:val="0"/>
          <w:color w:val="000000"/>
          <w:szCs w:val="24"/>
        </w:rPr>
        <w:t>.</w:t>
      </w:r>
    </w:p>
    <w:p w:rsidR="00BD7020" w:rsidRPr="002933EA" w:rsidRDefault="00BD7020" w:rsidP="002933EA">
      <w:pPr>
        <w:jc w:val="both"/>
        <w:rPr>
          <w:b/>
          <w:szCs w:val="28"/>
        </w:rPr>
      </w:pPr>
    </w:p>
    <w:p w:rsidR="002630A6" w:rsidRPr="00D3372B" w:rsidRDefault="00D3372B" w:rsidP="00BB787A">
      <w:pPr>
        <w:ind w:left="709"/>
        <w:jc w:val="both"/>
        <w:rPr>
          <w:szCs w:val="28"/>
          <w:lang w:val="en-US"/>
        </w:rPr>
      </w:pPr>
      <w:r>
        <w:rPr>
          <w:b/>
          <w:snapToGrid w:val="0"/>
          <w:szCs w:val="28"/>
          <w:lang w:val="en-US"/>
        </w:rPr>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BD7020" w:rsidP="003D3725">
            <w:pPr>
              <w:pStyle w:val="a6"/>
              <w:tabs>
                <w:tab w:val="left" w:pos="0"/>
              </w:tabs>
              <w:rPr>
                <w:i w:val="0"/>
              </w:rPr>
            </w:pPr>
            <w:r>
              <w:rPr>
                <w:i w:val="0"/>
              </w:rPr>
              <w:t>Заместитель пр</w:t>
            </w:r>
            <w:r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6000B">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lastRenderedPageBreak/>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3372B">
            <w:pPr>
              <w:pStyle w:val="a6"/>
              <w:tabs>
                <w:tab w:val="left" w:pos="0"/>
              </w:tabs>
            </w:pPr>
            <w:r w:rsidRPr="00CF45A9">
              <w:rPr>
                <w:i w:val="0"/>
              </w:rPr>
              <w:t>«</w:t>
            </w:r>
            <w:r w:rsidR="00D3372B">
              <w:rPr>
                <w:i w:val="0"/>
                <w:lang w:val="en-US"/>
              </w:rPr>
              <w:t>31</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2630A6" w:rsidRDefault="002630A6">
      <w:pPr>
        <w:rPr>
          <w:szCs w:val="28"/>
        </w:rPr>
      </w:pPr>
      <w:r>
        <w:rPr>
          <w:szCs w:val="28"/>
        </w:rPr>
        <w:br w:type="page"/>
      </w:r>
    </w:p>
    <w:p w:rsidR="00A323D1" w:rsidRPr="00D02697" w:rsidRDefault="00A323D1" w:rsidP="00A323D1">
      <w:pPr>
        <w:jc w:val="right"/>
        <w:rPr>
          <w:sz w:val="22"/>
          <w:szCs w:val="22"/>
        </w:rPr>
      </w:pPr>
      <w:r>
        <w:rPr>
          <w:sz w:val="22"/>
          <w:szCs w:val="22"/>
        </w:rPr>
        <w:lastRenderedPageBreak/>
        <w:t>Прилож</w:t>
      </w:r>
      <w:r w:rsidRPr="00D02697">
        <w:rPr>
          <w:sz w:val="22"/>
          <w:szCs w:val="22"/>
        </w:rPr>
        <w:t xml:space="preserve">ение № </w:t>
      </w:r>
      <w:r>
        <w:rPr>
          <w:sz w:val="22"/>
          <w:szCs w:val="22"/>
        </w:rPr>
        <w:t>2</w:t>
      </w:r>
    </w:p>
    <w:p w:rsidR="00A323D1" w:rsidRPr="00D02697" w:rsidRDefault="00A323D1" w:rsidP="00A323D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BD4D3D">
        <w:rPr>
          <w:bCs/>
          <w:sz w:val="22"/>
          <w:szCs w:val="22"/>
        </w:rPr>
        <w:t>54</w:t>
      </w:r>
      <w:r w:rsidRPr="00D02697">
        <w:rPr>
          <w:sz w:val="22"/>
          <w:szCs w:val="22"/>
        </w:rPr>
        <w:t>/КК</w:t>
      </w:r>
    </w:p>
    <w:p w:rsidR="00A323D1" w:rsidRPr="00D02697" w:rsidRDefault="00A323D1" w:rsidP="00A323D1">
      <w:pPr>
        <w:jc w:val="right"/>
        <w:outlineLvl w:val="0"/>
        <w:rPr>
          <w:bCs/>
          <w:sz w:val="22"/>
          <w:szCs w:val="22"/>
        </w:rPr>
      </w:pPr>
      <w:r w:rsidRPr="00D02697">
        <w:rPr>
          <w:bCs/>
          <w:sz w:val="22"/>
          <w:szCs w:val="22"/>
        </w:rPr>
        <w:t>заседания Конкурсной комиссии</w:t>
      </w:r>
    </w:p>
    <w:p w:rsidR="00A323D1" w:rsidRPr="00D02697" w:rsidRDefault="00A323D1" w:rsidP="00A323D1">
      <w:pPr>
        <w:jc w:val="right"/>
        <w:rPr>
          <w:sz w:val="22"/>
          <w:szCs w:val="22"/>
        </w:rPr>
      </w:pPr>
      <w:r w:rsidRPr="00D02697">
        <w:rPr>
          <w:sz w:val="22"/>
          <w:szCs w:val="22"/>
        </w:rPr>
        <w:t>открытого акционерного общества</w:t>
      </w:r>
    </w:p>
    <w:p w:rsidR="00A323D1" w:rsidRPr="00D02697" w:rsidRDefault="00A323D1" w:rsidP="00A323D1">
      <w:pPr>
        <w:jc w:val="right"/>
        <w:rPr>
          <w:sz w:val="22"/>
          <w:szCs w:val="22"/>
        </w:rPr>
      </w:pPr>
      <w:r w:rsidRPr="00D02697">
        <w:rPr>
          <w:sz w:val="22"/>
          <w:szCs w:val="22"/>
        </w:rPr>
        <w:t>«Центр по перевозке грузов в контейнерах «ТрансКонтейнер»,</w:t>
      </w:r>
    </w:p>
    <w:p w:rsidR="00A323D1" w:rsidRPr="00D02697" w:rsidRDefault="00A323D1" w:rsidP="00A323D1">
      <w:pPr>
        <w:jc w:val="right"/>
        <w:rPr>
          <w:sz w:val="22"/>
          <w:szCs w:val="22"/>
        </w:rPr>
      </w:pPr>
      <w:r w:rsidRPr="00D02697">
        <w:rPr>
          <w:sz w:val="22"/>
          <w:szCs w:val="22"/>
        </w:rPr>
        <w:t xml:space="preserve">состоявшегося </w:t>
      </w:r>
      <w:r>
        <w:rPr>
          <w:sz w:val="22"/>
          <w:szCs w:val="22"/>
        </w:rPr>
        <w:t xml:space="preserve"> </w:t>
      </w:r>
      <w:r w:rsidR="00BD4D3D">
        <w:rPr>
          <w:sz w:val="22"/>
          <w:szCs w:val="22"/>
        </w:rPr>
        <w:t xml:space="preserve">25 </w:t>
      </w:r>
      <w:r w:rsidR="00BD4D3D" w:rsidRPr="00D02697">
        <w:rPr>
          <w:sz w:val="22"/>
          <w:szCs w:val="22"/>
        </w:rPr>
        <w:t xml:space="preserve"> </w:t>
      </w:r>
      <w:r>
        <w:rPr>
          <w:sz w:val="22"/>
          <w:szCs w:val="22"/>
        </w:rPr>
        <w:t>дека</w:t>
      </w:r>
      <w:r w:rsidRPr="00D02697">
        <w:rPr>
          <w:sz w:val="22"/>
          <w:szCs w:val="22"/>
        </w:rPr>
        <w:t>бря 2013 года</w:t>
      </w:r>
    </w:p>
    <w:p w:rsidR="0016045E" w:rsidRDefault="0016045E" w:rsidP="00A323D1">
      <w:pPr>
        <w:rPr>
          <w:sz w:val="22"/>
          <w:szCs w:val="22"/>
        </w:rPr>
      </w:pPr>
    </w:p>
    <w:p w:rsidR="00A323D1" w:rsidRDefault="00A323D1" w:rsidP="00A323D1">
      <w:pPr>
        <w:rPr>
          <w:sz w:val="22"/>
          <w:szCs w:val="22"/>
        </w:rPr>
      </w:pPr>
    </w:p>
    <w:tbl>
      <w:tblPr>
        <w:tblW w:w="9781" w:type="dxa"/>
        <w:tblInd w:w="108" w:type="dxa"/>
        <w:tblLayout w:type="fixed"/>
        <w:tblLook w:val="04A0"/>
      </w:tblPr>
      <w:tblGrid>
        <w:gridCol w:w="9781"/>
      </w:tblGrid>
      <w:tr w:rsidR="00FD5882" w:rsidRPr="00FD5882" w:rsidTr="00F07622">
        <w:trPr>
          <w:trHeight w:val="566"/>
        </w:trPr>
        <w:tc>
          <w:tcPr>
            <w:tcW w:w="9781" w:type="dxa"/>
            <w:tcBorders>
              <w:top w:val="nil"/>
              <w:left w:val="nil"/>
              <w:bottom w:val="nil"/>
              <w:right w:val="nil"/>
            </w:tcBorders>
            <w:shd w:val="clear" w:color="auto" w:fill="auto"/>
            <w:hideMark/>
          </w:tcPr>
          <w:p w:rsidR="00FD5882" w:rsidRPr="00FD5882" w:rsidRDefault="00FD5882" w:rsidP="00FD5882">
            <w:pPr>
              <w:tabs>
                <w:tab w:val="left" w:pos="709"/>
              </w:tabs>
              <w:jc w:val="center"/>
              <w:rPr>
                <w:b/>
                <w:bCs/>
                <w:snapToGrid w:val="0"/>
              </w:rPr>
            </w:pPr>
            <w:r w:rsidRPr="00FD5882">
              <w:rPr>
                <w:b/>
                <w:bCs/>
                <w:snapToGrid w:val="0"/>
              </w:rPr>
              <w:t>ВЕДОМОСТЬ ОБЪЕМОВ РАБОТ</w:t>
            </w:r>
          </w:p>
        </w:tc>
      </w:tr>
    </w:tbl>
    <w:p w:rsidR="00FD5882" w:rsidRPr="00FD5882" w:rsidRDefault="00FD5882" w:rsidP="00FD5882">
      <w:pPr>
        <w:tabs>
          <w:tab w:val="left" w:pos="709"/>
        </w:tabs>
        <w:ind w:left="708"/>
        <w:jc w:val="center"/>
        <w:rPr>
          <w:b/>
          <w:snapToGrid w:val="0"/>
          <w:szCs w:val="28"/>
        </w:rPr>
      </w:pPr>
      <w:r w:rsidRPr="00FD5882">
        <w:rPr>
          <w:b/>
          <w:snapToGrid w:val="0"/>
          <w:szCs w:val="28"/>
        </w:rPr>
        <w:t>Реконструкция кранового пути № 1.1 (инв. 00000150). Устройство пути  на железобетонных подкрановых балках (</w:t>
      </w:r>
      <w:r w:rsidRPr="00FD5882">
        <w:rPr>
          <w:b/>
          <w:snapToGrid w:val="0"/>
          <w:szCs w:val="28"/>
          <w:lang w:val="en-US"/>
        </w:rPr>
        <w:t>L</w:t>
      </w:r>
      <w:r w:rsidRPr="00FD5882">
        <w:rPr>
          <w:b/>
          <w:snapToGrid w:val="0"/>
          <w:szCs w:val="28"/>
        </w:rPr>
        <w:t xml:space="preserve"> =325м)</w:t>
      </w:r>
    </w:p>
    <w:p w:rsidR="00FD5882" w:rsidRPr="00FD5882" w:rsidRDefault="00FD5882" w:rsidP="00FD5882">
      <w:pPr>
        <w:tabs>
          <w:tab w:val="left" w:pos="709"/>
        </w:tabs>
        <w:ind w:left="708" w:firstLine="709"/>
        <w:jc w:val="both"/>
        <w:rPr>
          <w:b/>
          <w:snapToGrid w:val="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245"/>
        <w:gridCol w:w="1559"/>
        <w:gridCol w:w="1417"/>
      </w:tblGrid>
      <w:tr w:rsidR="00FD5882" w:rsidRPr="00FD5882" w:rsidTr="00F07622">
        <w:trPr>
          <w:trHeight w:val="924"/>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w:t>
            </w:r>
          </w:p>
          <w:p w:rsidR="00FD5882" w:rsidRPr="00FD5882" w:rsidRDefault="00FD5882" w:rsidP="00FD5882">
            <w:pPr>
              <w:tabs>
                <w:tab w:val="left" w:pos="709"/>
              </w:tabs>
              <w:jc w:val="center"/>
              <w:rPr>
                <w:snapToGrid w:val="0"/>
                <w:szCs w:val="28"/>
              </w:rPr>
            </w:pPr>
            <w:proofErr w:type="gramStart"/>
            <w:r w:rsidRPr="00FD5882">
              <w:rPr>
                <w:snapToGrid w:val="0"/>
                <w:szCs w:val="28"/>
              </w:rPr>
              <w:t>п</w:t>
            </w:r>
            <w:proofErr w:type="gramEnd"/>
            <w:r w:rsidRPr="00FD5882">
              <w:rPr>
                <w:snapToGrid w:val="0"/>
                <w:szCs w:val="28"/>
              </w:rPr>
              <w:t>/п</w:t>
            </w:r>
          </w:p>
        </w:tc>
        <w:tc>
          <w:tcPr>
            <w:tcW w:w="5245" w:type="dxa"/>
            <w:vAlign w:val="center"/>
          </w:tcPr>
          <w:p w:rsidR="00FD5882" w:rsidRPr="00FD5882" w:rsidRDefault="00FD5882" w:rsidP="00FD5882">
            <w:pPr>
              <w:tabs>
                <w:tab w:val="left" w:pos="709"/>
              </w:tabs>
              <w:jc w:val="center"/>
              <w:rPr>
                <w:snapToGrid w:val="0"/>
                <w:szCs w:val="28"/>
              </w:rPr>
            </w:pPr>
            <w:r w:rsidRPr="00FD5882">
              <w:rPr>
                <w:snapToGrid w:val="0"/>
                <w:szCs w:val="28"/>
              </w:rPr>
              <w:t>Наименование работ</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Ед. изм.</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Кол-во</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1</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Разборка рельсовых путей, пути из одной нити (одно звено 12.5м)</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звено</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26</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2</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Укладка щебня из гравия для строительных работ фракция 20-40</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м</w:t>
            </w:r>
            <w:r w:rsidRPr="00FD5882">
              <w:rPr>
                <w:snapToGrid w:val="0"/>
                <w:szCs w:val="28"/>
                <w:vertAlign w:val="superscript"/>
              </w:rPr>
              <w:t>3</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93.6</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3</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Укладка подкрановой балки БРП 62.8.3.32</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шт.</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53</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4</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Устройство рельсовых путей, пути из одной нити (одно звено 12.5м)</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звено</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26</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5</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Устройство бетонных фундаментов объемом до 5 м</w:t>
            </w:r>
            <w:r w:rsidRPr="00FD5882">
              <w:rPr>
                <w:snapToGrid w:val="0"/>
                <w:szCs w:val="28"/>
                <w:vertAlign w:val="superscript"/>
              </w:rPr>
              <w:t xml:space="preserve">3   </w:t>
            </w:r>
            <w:r w:rsidRPr="00FD5882">
              <w:rPr>
                <w:snapToGrid w:val="0"/>
                <w:szCs w:val="28"/>
              </w:rPr>
              <w:t>под тупиковые упоры</w:t>
            </w:r>
            <w:r w:rsidRPr="00FD5882">
              <w:rPr>
                <w:snapToGrid w:val="0"/>
                <w:szCs w:val="28"/>
                <w:vertAlign w:val="superscript"/>
              </w:rPr>
              <w:t xml:space="preserve"> </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м</w:t>
            </w:r>
            <w:r w:rsidRPr="00FD5882">
              <w:rPr>
                <w:snapToGrid w:val="0"/>
                <w:szCs w:val="28"/>
                <w:vertAlign w:val="superscript"/>
              </w:rPr>
              <w:t>3</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16.88</w:t>
            </w:r>
          </w:p>
        </w:tc>
      </w:tr>
      <w:tr w:rsidR="00FD5882" w:rsidRPr="00FD5882" w:rsidTr="00F07622">
        <w:trPr>
          <w:trHeight w:val="567"/>
        </w:trPr>
        <w:tc>
          <w:tcPr>
            <w:tcW w:w="1418" w:type="dxa"/>
            <w:vAlign w:val="center"/>
          </w:tcPr>
          <w:p w:rsidR="00FD5882" w:rsidRPr="00FD5882" w:rsidRDefault="00FD5882" w:rsidP="00FD5882">
            <w:pPr>
              <w:tabs>
                <w:tab w:val="left" w:pos="709"/>
              </w:tabs>
              <w:jc w:val="center"/>
              <w:rPr>
                <w:snapToGrid w:val="0"/>
                <w:szCs w:val="28"/>
              </w:rPr>
            </w:pPr>
            <w:r w:rsidRPr="00FD5882">
              <w:rPr>
                <w:snapToGrid w:val="0"/>
                <w:szCs w:val="28"/>
              </w:rPr>
              <w:t>6</w:t>
            </w:r>
          </w:p>
        </w:tc>
        <w:tc>
          <w:tcPr>
            <w:tcW w:w="5245" w:type="dxa"/>
            <w:vAlign w:val="center"/>
          </w:tcPr>
          <w:p w:rsidR="00FD5882" w:rsidRPr="00FD5882" w:rsidRDefault="00FD5882" w:rsidP="00FD5882">
            <w:pPr>
              <w:tabs>
                <w:tab w:val="left" w:pos="709"/>
              </w:tabs>
              <w:rPr>
                <w:snapToGrid w:val="0"/>
                <w:szCs w:val="28"/>
              </w:rPr>
            </w:pPr>
            <w:r w:rsidRPr="00FD5882">
              <w:rPr>
                <w:snapToGrid w:val="0"/>
                <w:szCs w:val="28"/>
              </w:rPr>
              <w:t>Сборка тупиковых упоров</w:t>
            </w:r>
          </w:p>
        </w:tc>
        <w:tc>
          <w:tcPr>
            <w:tcW w:w="1559" w:type="dxa"/>
            <w:vAlign w:val="center"/>
          </w:tcPr>
          <w:p w:rsidR="00FD5882" w:rsidRPr="00FD5882" w:rsidRDefault="00FD5882" w:rsidP="00FD5882">
            <w:pPr>
              <w:tabs>
                <w:tab w:val="left" w:pos="709"/>
              </w:tabs>
              <w:jc w:val="center"/>
              <w:rPr>
                <w:snapToGrid w:val="0"/>
                <w:szCs w:val="28"/>
              </w:rPr>
            </w:pPr>
            <w:r w:rsidRPr="00FD5882">
              <w:rPr>
                <w:snapToGrid w:val="0"/>
                <w:szCs w:val="28"/>
              </w:rPr>
              <w:t>шт.</w:t>
            </w:r>
          </w:p>
        </w:tc>
        <w:tc>
          <w:tcPr>
            <w:tcW w:w="1417" w:type="dxa"/>
            <w:vAlign w:val="center"/>
          </w:tcPr>
          <w:p w:rsidR="00FD5882" w:rsidRPr="00FD5882" w:rsidRDefault="00FD5882" w:rsidP="00FD5882">
            <w:pPr>
              <w:tabs>
                <w:tab w:val="left" w:pos="709"/>
              </w:tabs>
              <w:jc w:val="center"/>
              <w:rPr>
                <w:snapToGrid w:val="0"/>
                <w:szCs w:val="28"/>
              </w:rPr>
            </w:pPr>
            <w:r w:rsidRPr="00FD5882">
              <w:rPr>
                <w:snapToGrid w:val="0"/>
                <w:szCs w:val="28"/>
              </w:rPr>
              <w:t>3</w:t>
            </w:r>
          </w:p>
        </w:tc>
      </w:tr>
      <w:tr w:rsidR="00FD5882" w:rsidRPr="00FD5882" w:rsidTr="00F07622">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FD5882" w:rsidRPr="00FD5882" w:rsidRDefault="00FD5882" w:rsidP="00FD5882">
            <w:pPr>
              <w:tabs>
                <w:tab w:val="left" w:pos="709"/>
              </w:tabs>
              <w:jc w:val="center"/>
              <w:rPr>
                <w:snapToGrid w:val="0"/>
                <w:szCs w:val="28"/>
              </w:rPr>
            </w:pPr>
            <w:r w:rsidRPr="00FD5882">
              <w:rPr>
                <w:snapToGrid w:val="0"/>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FD5882" w:rsidRPr="00FD5882" w:rsidRDefault="00FD5882" w:rsidP="00FD5882">
            <w:pPr>
              <w:tabs>
                <w:tab w:val="left" w:pos="709"/>
              </w:tabs>
              <w:rPr>
                <w:snapToGrid w:val="0"/>
                <w:szCs w:val="28"/>
              </w:rPr>
            </w:pPr>
            <w:r w:rsidRPr="00FD5882">
              <w:rPr>
                <w:snapToGrid w:val="0"/>
                <w:szCs w:val="28"/>
              </w:rPr>
              <w:t>Выправка пути перед сдачей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rsidR="00FD5882" w:rsidRPr="00FD5882" w:rsidRDefault="00FD5882" w:rsidP="00FD5882">
            <w:pPr>
              <w:tabs>
                <w:tab w:val="left" w:pos="709"/>
              </w:tabs>
              <w:jc w:val="center"/>
              <w:rPr>
                <w:snapToGrid w:val="0"/>
                <w:szCs w:val="28"/>
              </w:rPr>
            </w:pPr>
            <w:r w:rsidRPr="00FD5882">
              <w:rPr>
                <w:snapToGrid w:val="0"/>
                <w:szCs w:val="28"/>
              </w:rPr>
              <w:t>м</w:t>
            </w:r>
          </w:p>
        </w:tc>
        <w:tc>
          <w:tcPr>
            <w:tcW w:w="1417" w:type="dxa"/>
            <w:tcBorders>
              <w:top w:val="single" w:sz="4" w:space="0" w:color="auto"/>
              <w:left w:val="single" w:sz="4" w:space="0" w:color="auto"/>
              <w:bottom w:val="single" w:sz="4" w:space="0" w:color="auto"/>
              <w:right w:val="single" w:sz="4" w:space="0" w:color="auto"/>
            </w:tcBorders>
            <w:vAlign w:val="center"/>
          </w:tcPr>
          <w:p w:rsidR="00FD5882" w:rsidRPr="00FD5882" w:rsidRDefault="00FD5882" w:rsidP="00FD5882">
            <w:pPr>
              <w:tabs>
                <w:tab w:val="left" w:pos="709"/>
              </w:tabs>
              <w:jc w:val="center"/>
              <w:rPr>
                <w:snapToGrid w:val="0"/>
                <w:szCs w:val="28"/>
                <w:lang w:val="en-US"/>
              </w:rPr>
            </w:pPr>
            <w:r w:rsidRPr="00FD5882">
              <w:rPr>
                <w:snapToGrid w:val="0"/>
                <w:szCs w:val="28"/>
                <w:lang w:val="en-US"/>
              </w:rPr>
              <w:t>325</w:t>
            </w:r>
          </w:p>
        </w:tc>
      </w:tr>
    </w:tbl>
    <w:p w:rsidR="00FD5882" w:rsidRPr="00FD5882" w:rsidRDefault="00FD5882" w:rsidP="00FD5882">
      <w:pPr>
        <w:tabs>
          <w:tab w:val="left" w:pos="709"/>
        </w:tabs>
        <w:ind w:firstLine="709"/>
        <w:jc w:val="both"/>
        <w:rPr>
          <w:b/>
          <w:snapToGrid w:val="0"/>
          <w:highlight w:val="cyan"/>
        </w:rPr>
      </w:pPr>
    </w:p>
    <w:p w:rsidR="00FD5882" w:rsidRPr="00FD5882" w:rsidRDefault="00FD5882" w:rsidP="00FD5882">
      <w:pPr>
        <w:tabs>
          <w:tab w:val="left" w:pos="284"/>
          <w:tab w:val="left" w:pos="709"/>
          <w:tab w:val="center" w:pos="4680"/>
          <w:tab w:val="right" w:pos="9355"/>
          <w:tab w:val="left" w:pos="9639"/>
        </w:tabs>
        <w:jc w:val="both"/>
        <w:rPr>
          <w:b/>
          <w:snapToGrid w:val="0"/>
          <w:sz w:val="24"/>
          <w:szCs w:val="24"/>
        </w:rPr>
      </w:pPr>
    </w:p>
    <w:p w:rsidR="006972AE" w:rsidRPr="00AA27CF" w:rsidRDefault="006972AE" w:rsidP="00FD5882">
      <w:pPr>
        <w:rPr>
          <w:szCs w:val="28"/>
        </w:rPr>
      </w:pPr>
    </w:p>
    <w:sectPr w:rsidR="006972AE" w:rsidRPr="00AA27CF" w:rsidSect="002933EA">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8D" w:rsidRDefault="00D12E8D" w:rsidP="00B470FA">
      <w:r>
        <w:separator/>
      </w:r>
    </w:p>
  </w:endnote>
  <w:endnote w:type="continuationSeparator" w:id="1">
    <w:p w:rsidR="00D12E8D" w:rsidRDefault="00D12E8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8D" w:rsidRDefault="00D12E8D" w:rsidP="00B470FA">
      <w:r>
        <w:separator/>
      </w:r>
    </w:p>
  </w:footnote>
  <w:footnote w:type="continuationSeparator" w:id="1">
    <w:p w:rsidR="00D12E8D" w:rsidRDefault="00D12E8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C06231" w:rsidRPr="00636E16" w:rsidRDefault="00F16DED" w:rsidP="00636E16">
        <w:pPr>
          <w:pStyle w:val="aff"/>
          <w:jc w:val="center"/>
          <w:rPr>
            <w:sz w:val="24"/>
            <w:szCs w:val="24"/>
          </w:rPr>
        </w:pPr>
        <w:r w:rsidRPr="00636E16">
          <w:rPr>
            <w:sz w:val="24"/>
            <w:szCs w:val="24"/>
          </w:rPr>
          <w:fldChar w:fldCharType="begin"/>
        </w:r>
        <w:r w:rsidR="00C06231" w:rsidRPr="00636E16">
          <w:rPr>
            <w:sz w:val="24"/>
            <w:szCs w:val="24"/>
          </w:rPr>
          <w:instrText>PAGE   \* MERGEFORMAT</w:instrText>
        </w:r>
        <w:r w:rsidRPr="00636E16">
          <w:rPr>
            <w:sz w:val="24"/>
            <w:szCs w:val="24"/>
          </w:rPr>
          <w:fldChar w:fldCharType="separate"/>
        </w:r>
        <w:r w:rsidR="00D3372B">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7D81330"/>
    <w:multiLevelType w:val="hybridMultilevel"/>
    <w:tmpl w:val="F022DF78"/>
    <w:lvl w:ilvl="0" w:tplc="D0CE2D52">
      <w:start w:val="1"/>
      <w:numFmt w:val="decimal"/>
      <w:lvlText w:val="%1."/>
      <w:lvlJc w:val="left"/>
      <w:pPr>
        <w:ind w:left="1002" w:hanging="360"/>
      </w:pPr>
      <w:rPr>
        <w:rFonts w:hint="default"/>
        <w:b w:val="0"/>
        <w:color w:val="auto"/>
        <w:sz w:val="28"/>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E19B5"/>
    <w:multiLevelType w:val="hybridMultilevel"/>
    <w:tmpl w:val="EEE42CEC"/>
    <w:lvl w:ilvl="0" w:tplc="4A4E0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7">
    <w:nsid w:val="47926FEA"/>
    <w:multiLevelType w:val="hybridMultilevel"/>
    <w:tmpl w:val="51CEA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205CDC"/>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78041AC"/>
    <w:multiLevelType w:val="hybridMultilevel"/>
    <w:tmpl w:val="9F226960"/>
    <w:lvl w:ilvl="0" w:tplc="57DAD3C4">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7">
    <w:nsid w:val="7C8020F6"/>
    <w:multiLevelType w:val="multilevel"/>
    <w:tmpl w:val="8716C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6"/>
  </w:num>
  <w:num w:numId="4">
    <w:abstractNumId w:val="9"/>
  </w:num>
  <w:num w:numId="5">
    <w:abstractNumId w:val="8"/>
  </w:num>
  <w:num w:numId="6">
    <w:abstractNumId w:val="0"/>
  </w:num>
  <w:num w:numId="7">
    <w:abstractNumId w:val="23"/>
  </w:num>
  <w:num w:numId="8">
    <w:abstractNumId w:val="18"/>
  </w:num>
  <w:num w:numId="9">
    <w:abstractNumId w:val="28"/>
  </w:num>
  <w:num w:numId="10">
    <w:abstractNumId w:val="12"/>
  </w:num>
  <w:num w:numId="11">
    <w:abstractNumId w:val="25"/>
  </w:num>
  <w:num w:numId="12">
    <w:abstractNumId w:val="10"/>
  </w:num>
  <w:num w:numId="13">
    <w:abstractNumId w:val="20"/>
  </w:num>
  <w:num w:numId="14">
    <w:abstractNumId w:val="19"/>
  </w:num>
  <w:num w:numId="15">
    <w:abstractNumId w:val="22"/>
  </w:num>
  <w:num w:numId="16">
    <w:abstractNumId w:val="15"/>
  </w:num>
  <w:num w:numId="17">
    <w:abstractNumId w:val="2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 w:numId="30">
    <w:abstractNumId w:val="7"/>
  </w:num>
  <w:num w:numId="31">
    <w:abstractNumId w:val="29"/>
  </w:num>
  <w:num w:numId="32">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871"/>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0A34"/>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66194"/>
    <w:rsid w:val="008715E8"/>
    <w:rsid w:val="0087261D"/>
    <w:rsid w:val="00872A86"/>
    <w:rsid w:val="00873D71"/>
    <w:rsid w:val="008745F5"/>
    <w:rsid w:val="0087517A"/>
    <w:rsid w:val="00875BAF"/>
    <w:rsid w:val="00876522"/>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2AD"/>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7E"/>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870EA"/>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372B"/>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6DED"/>
    <w:rsid w:val="00F17E02"/>
    <w:rsid w:val="00F200AD"/>
    <w:rsid w:val="00F21495"/>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000B"/>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58D0-4ECF-4BB0-8FCF-23D6EBE7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2014-01-09T11:26:00Z</cp:lastPrinted>
  <dcterms:created xsi:type="dcterms:W3CDTF">2014-01-15T12:31:00Z</dcterms:created>
  <dcterms:modified xsi:type="dcterms:W3CDTF">2014-01-15T12:31:00Z</dcterms:modified>
</cp:coreProperties>
</file>