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23 апреля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 w:rsidR="00114E36"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 w:rsidR="00114E36"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5"/>
        <w:gridCol w:w="1988"/>
        <w:gridCol w:w="3118"/>
        <w:gridCol w:w="3968"/>
      </w:tblGrid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CF3E6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Заместитель Председателя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834BE6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член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pStyle w:val="a5"/>
              <w:ind w:left="0"/>
              <w:contextualSpacing w:val="0"/>
              <w:rPr>
                <w:snapToGrid w:val="0"/>
                <w:sz w:val="28"/>
                <w:szCs w:val="28"/>
              </w:rPr>
            </w:pPr>
            <w:r w:rsidRPr="004F741E">
              <w:rPr>
                <w:snapToGrid w:val="0"/>
                <w:sz w:val="28"/>
                <w:szCs w:val="28"/>
              </w:rPr>
              <w:t>член ПРГ</w:t>
            </w: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ind w:firstLine="0"/>
              <w:jc w:val="right"/>
              <w:rPr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rPr>
                <w:szCs w:val="28"/>
              </w:rPr>
            </w:pPr>
          </w:p>
        </w:tc>
      </w:tr>
      <w:tr w:rsidR="00ED5411" w:rsidRPr="004F741E" w:rsidTr="00CF3E61">
        <w:trPr>
          <w:jc w:val="center"/>
        </w:trPr>
        <w:tc>
          <w:tcPr>
            <w:tcW w:w="565" w:type="dxa"/>
          </w:tcPr>
          <w:p w:rsidR="00ED5411" w:rsidRPr="004F741E" w:rsidRDefault="00ED5411" w:rsidP="00ED541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968" w:type="dxa"/>
          </w:tcPr>
          <w:p w:rsidR="00ED5411" w:rsidRPr="004F741E" w:rsidRDefault="00ED5411" w:rsidP="00ED5411">
            <w:pPr>
              <w:ind w:firstLine="0"/>
              <w:jc w:val="both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</w:tr>
    </w:tbl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>Состав ПРГ – 8 человек. Приняли участие – 7.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Pr="00CF3E61" w:rsidRDefault="00CF3E61" w:rsidP="00491B89">
      <w:pPr>
        <w:pStyle w:val="1"/>
        <w:suppressAutoHyphens/>
        <w:ind w:firstLine="709"/>
        <w:rPr>
          <w:szCs w:val="28"/>
        </w:rPr>
      </w:pPr>
      <w:r>
        <w:rPr>
          <w:b/>
          <w:szCs w:val="28"/>
        </w:rPr>
        <w:t>….</w:t>
      </w:r>
    </w:p>
    <w:p w:rsidR="00CF3E61" w:rsidRPr="004F741E" w:rsidRDefault="00491B89" w:rsidP="00CF3E61">
      <w:pPr>
        <w:pStyle w:val="1"/>
        <w:suppressAutoHyphens/>
        <w:ind w:firstLine="709"/>
        <w:rPr>
          <w:szCs w:val="28"/>
        </w:rPr>
      </w:pPr>
      <w:r w:rsidRPr="004F741E">
        <w:rPr>
          <w:b/>
          <w:szCs w:val="28"/>
          <w:lang w:val="en-US"/>
        </w:rPr>
        <w:t>III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предложений на участие в Запросе предложений </w:t>
      </w:r>
      <w:r w:rsidRPr="004F741E">
        <w:rPr>
          <w:szCs w:val="28"/>
        </w:rPr>
        <w:br/>
        <w:t xml:space="preserve">№ ЗП/001/ЦКПРК/0022 на право заключения договора приобретения контейнеров во II </w:t>
      </w:r>
      <w:proofErr w:type="gramStart"/>
      <w:r w:rsidRPr="004F741E">
        <w:rPr>
          <w:szCs w:val="28"/>
        </w:rPr>
        <w:t>квартале  2013</w:t>
      </w:r>
      <w:proofErr w:type="gramEnd"/>
      <w:r w:rsidRPr="004F741E">
        <w:rPr>
          <w:szCs w:val="28"/>
        </w:rPr>
        <w:t xml:space="preserve"> года</w:t>
      </w:r>
      <w:r w:rsidR="006F5DF1" w:rsidRPr="004F741E">
        <w:rPr>
          <w:szCs w:val="28"/>
        </w:rPr>
        <w:t xml:space="preserve"> (2 лота)</w:t>
      </w:r>
      <w:r w:rsidRPr="004F741E">
        <w:rPr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CF3E61">
        <w:trPr>
          <w:jc w:val="center"/>
        </w:trPr>
        <w:tc>
          <w:tcPr>
            <w:tcW w:w="4827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23.04.2013 16:00</w:t>
            </w:r>
          </w:p>
        </w:tc>
      </w:tr>
      <w:tr w:rsidR="00227EC0" w:rsidRPr="004F741E" w:rsidTr="00CF3E61">
        <w:trPr>
          <w:jc w:val="center"/>
        </w:trPr>
        <w:tc>
          <w:tcPr>
            <w:tcW w:w="4827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125047, Москва, Оружейный переулок, д. 19</w:t>
            </w:r>
          </w:p>
        </w:tc>
      </w:tr>
    </w:tbl>
    <w:p w:rsidR="00CF3E61" w:rsidRPr="00CF3E61" w:rsidRDefault="00CF3E61" w:rsidP="00CF3E61">
      <w:pPr>
        <w:pStyle w:val="1"/>
        <w:suppressAutoHyphens/>
        <w:ind w:firstLine="709"/>
        <w:rPr>
          <w:szCs w:val="28"/>
        </w:rPr>
      </w:pPr>
      <w:r>
        <w:rPr>
          <w:b/>
          <w:szCs w:val="28"/>
        </w:rPr>
        <w:t>….</w:t>
      </w:r>
    </w:p>
    <w:p w:rsidR="00A23329" w:rsidRPr="004F741E" w:rsidRDefault="00A23329" w:rsidP="00632A97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t>По  пункту III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835"/>
      </w:tblGrid>
      <w:tr w:rsidR="003039C8" w:rsidRPr="004F741E" w:rsidTr="00DE008D">
        <w:trPr>
          <w:jc w:val="center"/>
        </w:trPr>
        <w:tc>
          <w:tcPr>
            <w:tcW w:w="9853" w:type="dxa"/>
            <w:gridSpan w:val="2"/>
          </w:tcPr>
          <w:p w:rsidR="003039C8" w:rsidRPr="004F741E" w:rsidRDefault="003039C8" w:rsidP="00DE008D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Новые универсальные сухогрузные крупнотоннажные контейнеры длиной 20 футов типоразмера 22G1 (1СС) массой брутто 30.48 тонн в количестве - 200 единиц, классифицированные стандартом ИСО 668:1995 с поправками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17 000 000,00 Российский рубль</w:t>
            </w:r>
          </w:p>
        </w:tc>
      </w:tr>
    </w:tbl>
    <w:p w:rsidR="003039C8" w:rsidRPr="004F741E" w:rsidRDefault="003039C8" w:rsidP="003039C8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3039C8" w:rsidRPr="004F741E" w:rsidTr="00DE008D">
        <w:trPr>
          <w:jc w:val="center"/>
        </w:trPr>
        <w:tc>
          <w:tcPr>
            <w:tcW w:w="9639" w:type="dxa"/>
            <w:gridSpan w:val="2"/>
          </w:tcPr>
          <w:p w:rsidR="003039C8" w:rsidRPr="004F741E" w:rsidRDefault="003039C8" w:rsidP="00DE008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3039C8" w:rsidRPr="00607602" w:rsidTr="00DE008D">
        <w:trPr>
          <w:jc w:val="center"/>
        </w:trPr>
        <w:tc>
          <w:tcPr>
            <w:tcW w:w="481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823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5575EB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CIMC Container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</w:t>
            </w:r>
            <w:proofErr w:type="gramStart"/>
            <w:r w:rsidRPr="005575EB">
              <w:rPr>
                <w:sz w:val="28"/>
                <w:szCs w:val="28"/>
                <w:lang w:val="en-US"/>
              </w:rPr>
              <w:t>,Ltd</w:t>
            </w:r>
            <w:proofErr w:type="spellEnd"/>
            <w:proofErr w:type="gramEnd"/>
            <w:r w:rsidRPr="005575EB">
              <w:rPr>
                <w:sz w:val="28"/>
                <w:szCs w:val="28"/>
                <w:lang w:val="en-US"/>
              </w:rPr>
              <w:t xml:space="preserve"> (TCMC). </w:t>
            </w:r>
          </w:p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F741E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Port Economic and Technological Development Zone, Jiangsu, P.R.C.</w:t>
            </w:r>
          </w:p>
        </w:tc>
      </w:tr>
      <w:tr w:rsidR="003039C8" w:rsidRPr="004F741E" w:rsidTr="00DE008D">
        <w:trPr>
          <w:jc w:val="center"/>
        </w:trPr>
        <w:tc>
          <w:tcPr>
            <w:tcW w:w="481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823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3</w:t>
            </w:r>
          </w:p>
        </w:tc>
      </w:tr>
      <w:tr w:rsidR="003039C8" w:rsidRPr="004F741E" w:rsidTr="00DE008D">
        <w:trPr>
          <w:jc w:val="center"/>
        </w:trPr>
        <w:tc>
          <w:tcPr>
            <w:tcW w:w="481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823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18.04.2013 12:31</w:t>
            </w:r>
          </w:p>
        </w:tc>
      </w:tr>
      <w:tr w:rsidR="003039C8" w:rsidRPr="004F741E" w:rsidTr="00DE008D">
        <w:trPr>
          <w:jc w:val="center"/>
        </w:trPr>
        <w:tc>
          <w:tcPr>
            <w:tcW w:w="481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823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 xml:space="preserve">15151872 Российский рубль </w:t>
            </w:r>
          </w:p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(480 000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3039C8" w:rsidRPr="004F741E" w:rsidTr="00DE008D">
        <w:trPr>
          <w:jc w:val="center"/>
        </w:trPr>
        <w:tc>
          <w:tcPr>
            <w:tcW w:w="481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823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Май - Июль 2013 г.</w:t>
            </w:r>
          </w:p>
        </w:tc>
      </w:tr>
      <w:tr w:rsidR="003039C8" w:rsidRPr="004F741E" w:rsidTr="00DE008D">
        <w:trPr>
          <w:jc w:val="center"/>
        </w:trPr>
        <w:tc>
          <w:tcPr>
            <w:tcW w:w="481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823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200 контейнеров по цене 2400 USD за единицу. При определении общей цены договора использовался курс ЦБ РФ на 23.04.2013 (31,5664 руб. / USD)</w:t>
            </w:r>
          </w:p>
        </w:tc>
      </w:tr>
    </w:tbl>
    <w:p w:rsidR="003039C8" w:rsidRPr="004F741E" w:rsidRDefault="003039C8" w:rsidP="003039C8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3039C8" w:rsidRPr="004F741E" w:rsidTr="00DE008D">
        <w:trPr>
          <w:jc w:val="center"/>
        </w:trPr>
        <w:tc>
          <w:tcPr>
            <w:tcW w:w="9571" w:type="dxa"/>
            <w:gridSpan w:val="2"/>
          </w:tcPr>
          <w:p w:rsidR="003039C8" w:rsidRPr="004F741E" w:rsidRDefault="003039C8" w:rsidP="00DE008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>Заявка № 2</w:t>
            </w:r>
          </w:p>
        </w:tc>
      </w:tr>
      <w:tr w:rsidR="003039C8" w:rsidRPr="00607602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789" w:type="dxa"/>
            <w:vAlign w:val="center"/>
          </w:tcPr>
          <w:p w:rsidR="003039C8" w:rsidRPr="005575EB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607602">
              <w:rPr>
                <w:sz w:val="28"/>
                <w:szCs w:val="28"/>
                <w:lang w:val="en-US"/>
              </w:rPr>
              <w:t xml:space="preserve">Yangzhou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Runyang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Logistic Equipment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Co.,Ltd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(RYC), </w:t>
            </w:r>
          </w:p>
          <w:p w:rsidR="003039C8" w:rsidRPr="005575EB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5575EB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5575EB">
              <w:rPr>
                <w:sz w:val="28"/>
                <w:szCs w:val="28"/>
                <w:lang w:val="en-US"/>
              </w:rPr>
              <w:t xml:space="preserve">: 99th,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Road, Yangzhou, Jiangsu, China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1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17.04.2013 11:39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 xml:space="preserve"> 15057173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(477 000 USD)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Май - Июль 2013 г.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200 контейнеров по цене 2385 USD за единицу. При определении общей цены договора использовался курс ЦБ РФ на 23.04.2013 (31,5664 руб. / USD)</w:t>
            </w:r>
          </w:p>
        </w:tc>
      </w:tr>
    </w:tbl>
    <w:p w:rsidR="003039C8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3039C8" w:rsidRPr="004F741E" w:rsidRDefault="003039C8" w:rsidP="003039C8">
      <w:pPr>
        <w:jc w:val="both"/>
        <w:rPr>
          <w:snapToGrid/>
          <w:szCs w:val="28"/>
        </w:rPr>
      </w:pPr>
    </w:p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допустить к участию в запросе предложений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3039C8" w:rsidRPr="004F741E" w:rsidTr="00DE008D">
        <w:trPr>
          <w:jc w:val="center"/>
        </w:trPr>
        <w:tc>
          <w:tcPr>
            <w:tcW w:w="1384" w:type="dxa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Cs w:val="28"/>
              </w:rPr>
            </w:pPr>
          </w:p>
        </w:tc>
        <w:tc>
          <w:tcPr>
            <w:tcW w:w="3190" w:type="dxa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3039C8" w:rsidRPr="004F741E" w:rsidTr="00DE008D">
        <w:trPr>
          <w:jc w:val="center"/>
        </w:trPr>
        <w:tc>
          <w:tcPr>
            <w:tcW w:w="1384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t>3</w:t>
            </w:r>
          </w:p>
        </w:tc>
        <w:tc>
          <w:tcPr>
            <w:tcW w:w="4996" w:type="dxa"/>
            <w:vAlign w:val="center"/>
          </w:tcPr>
          <w:p w:rsidR="003039C8" w:rsidRPr="005575EB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Cs w:val="28"/>
                <w:lang w:val="en-US"/>
              </w:rPr>
              <w:t>Co.</w:t>
            </w:r>
            <w:proofErr w:type="gramStart"/>
            <w:r w:rsidRPr="004F741E">
              <w:rPr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Cs w:val="28"/>
                <w:lang w:val="en-US"/>
              </w:rPr>
              <w:t xml:space="preserve"> (TCMC). 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F741E">
              <w:rPr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  <w:lang w:val="en-US"/>
              </w:rPr>
              <w:lastRenderedPageBreak/>
              <w:t xml:space="preserve">Avenue, </w:t>
            </w: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Port Economic and Technological Development Zone, Jiangsu, P.R.C.</w:t>
            </w:r>
          </w:p>
        </w:tc>
        <w:tc>
          <w:tcPr>
            <w:tcW w:w="3190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4F741E">
              <w:rPr>
                <w:szCs w:val="28"/>
                <w:lang w:val="en-US"/>
              </w:rPr>
              <w:lastRenderedPageBreak/>
              <w:t xml:space="preserve">15151872 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Российский</w:t>
            </w:r>
            <w:proofErr w:type="spellEnd"/>
            <w:r w:rsidRPr="004F741E">
              <w:rPr>
                <w:szCs w:val="28"/>
                <w:lang w:val="en-US"/>
              </w:rPr>
              <w:t xml:space="preserve"> </w:t>
            </w:r>
            <w:proofErr w:type="spellStart"/>
            <w:r w:rsidRPr="004F741E">
              <w:rPr>
                <w:szCs w:val="28"/>
                <w:lang w:val="en-US"/>
              </w:rPr>
              <w:t>рубль</w:t>
            </w:r>
            <w:proofErr w:type="spellEnd"/>
            <w:r w:rsidRPr="004F741E">
              <w:rPr>
                <w:szCs w:val="28"/>
                <w:lang w:val="en-US"/>
              </w:rPr>
              <w:t xml:space="preserve"> 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4F741E">
              <w:rPr>
                <w:szCs w:val="28"/>
                <w:lang w:val="en-US"/>
              </w:rPr>
              <w:t>(480 000 USD)</w:t>
            </w:r>
          </w:p>
        </w:tc>
      </w:tr>
      <w:tr w:rsidR="003039C8" w:rsidRPr="004F741E" w:rsidTr="00DE008D">
        <w:trPr>
          <w:jc w:val="center"/>
        </w:trPr>
        <w:tc>
          <w:tcPr>
            <w:tcW w:w="1384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 w:rsidRPr="004F741E">
              <w:rPr>
                <w:snapToGrid/>
                <w:szCs w:val="28"/>
              </w:rPr>
              <w:lastRenderedPageBreak/>
              <w:t>1</w:t>
            </w:r>
          </w:p>
        </w:tc>
        <w:tc>
          <w:tcPr>
            <w:tcW w:w="4996" w:type="dxa"/>
            <w:vAlign w:val="center"/>
          </w:tcPr>
          <w:p w:rsidR="003039C8" w:rsidRPr="005575EB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607602">
              <w:rPr>
                <w:szCs w:val="28"/>
                <w:lang w:val="en-US"/>
              </w:rPr>
              <w:t xml:space="preserve">Yangzhou </w:t>
            </w:r>
            <w:proofErr w:type="spellStart"/>
            <w:r w:rsidRPr="004F741E">
              <w:rPr>
                <w:szCs w:val="28"/>
                <w:lang w:val="en-US"/>
              </w:rPr>
              <w:t>Runyang</w:t>
            </w:r>
            <w:proofErr w:type="spellEnd"/>
            <w:r w:rsidRPr="004F741E">
              <w:rPr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szCs w:val="28"/>
                <w:lang w:val="en-US"/>
              </w:rPr>
              <w:t>Co.,Ltd</w:t>
            </w:r>
            <w:proofErr w:type="spellEnd"/>
            <w:r w:rsidRPr="004F741E">
              <w:rPr>
                <w:szCs w:val="28"/>
                <w:lang w:val="en-US"/>
              </w:rPr>
              <w:t xml:space="preserve"> (RYC), </w:t>
            </w:r>
          </w:p>
          <w:p w:rsidR="003039C8" w:rsidRPr="005575EB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5575EB">
              <w:rPr>
                <w:szCs w:val="28"/>
                <w:lang w:val="en-US"/>
              </w:rPr>
              <w:t>: 99</w:t>
            </w:r>
            <w:r w:rsidRPr="004F741E">
              <w:rPr>
                <w:szCs w:val="28"/>
                <w:lang w:val="en-US"/>
              </w:rPr>
              <w:t>th</w:t>
            </w:r>
            <w:r w:rsidRPr="005575EB">
              <w:rPr>
                <w:szCs w:val="28"/>
                <w:lang w:val="en-US"/>
              </w:rPr>
              <w:t xml:space="preserve">, </w:t>
            </w:r>
            <w:proofErr w:type="spellStart"/>
            <w:r w:rsidRPr="004F741E">
              <w:rPr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  <w:lang w:val="en-US"/>
              </w:rPr>
              <w:t>Road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Yangzhou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Jiangsu</w:t>
            </w:r>
            <w:r w:rsidRPr="005575EB">
              <w:rPr>
                <w:szCs w:val="28"/>
                <w:lang w:val="en-US"/>
              </w:rPr>
              <w:t xml:space="preserve">, </w:t>
            </w:r>
            <w:r w:rsidRPr="004F741E">
              <w:rPr>
                <w:szCs w:val="28"/>
                <w:lang w:val="en-US"/>
              </w:rPr>
              <w:t>China</w:t>
            </w:r>
          </w:p>
        </w:tc>
        <w:tc>
          <w:tcPr>
            <w:tcW w:w="3190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4F741E">
              <w:rPr>
                <w:szCs w:val="28"/>
                <w:lang w:val="en-US"/>
              </w:rPr>
              <w:t xml:space="preserve">15057173 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Российский</w:t>
            </w:r>
            <w:proofErr w:type="spellEnd"/>
            <w:r w:rsidRPr="004F741E">
              <w:rPr>
                <w:szCs w:val="28"/>
                <w:lang w:val="en-US"/>
              </w:rPr>
              <w:t xml:space="preserve"> </w:t>
            </w:r>
            <w:proofErr w:type="spellStart"/>
            <w:r w:rsidRPr="004F741E">
              <w:rPr>
                <w:szCs w:val="28"/>
                <w:lang w:val="en-US"/>
              </w:rPr>
              <w:t>рубль</w:t>
            </w:r>
            <w:proofErr w:type="spellEnd"/>
            <w:r w:rsidRPr="004F741E">
              <w:rPr>
                <w:szCs w:val="28"/>
                <w:lang w:val="en-US"/>
              </w:rPr>
              <w:t xml:space="preserve"> 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 w:rsidRPr="004F741E">
              <w:rPr>
                <w:szCs w:val="28"/>
                <w:lang w:val="en-US"/>
              </w:rPr>
              <w:t>(477 000 USD)</w:t>
            </w:r>
          </w:p>
        </w:tc>
      </w:tr>
    </w:tbl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1.2. признать запрос предложений по Лоту № 1 состоявшимся;</w:t>
      </w:r>
    </w:p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1.3. признать победителем запроса предложений по Лоту № 1 </w:t>
      </w:r>
      <w:r w:rsidRPr="004F741E">
        <w:rPr>
          <w:snapToGrid/>
          <w:szCs w:val="28"/>
        </w:rPr>
        <w:br/>
      </w:r>
      <w:proofErr w:type="spellStart"/>
      <w:r w:rsidRPr="00607602">
        <w:rPr>
          <w:snapToGrid/>
          <w:szCs w:val="28"/>
        </w:rPr>
        <w:t>Yangzhou</w:t>
      </w:r>
      <w:proofErr w:type="spellEnd"/>
      <w:r w:rsidRPr="00607602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Runyang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Logistic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Equipment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Co.,Ltd</w:t>
      </w:r>
      <w:proofErr w:type="spellEnd"/>
      <w:r w:rsidRPr="004F741E">
        <w:rPr>
          <w:snapToGrid/>
          <w:szCs w:val="28"/>
        </w:rPr>
        <w:t xml:space="preserve"> (RYC), Юридический адрес: 99th, </w:t>
      </w:r>
      <w:proofErr w:type="spellStart"/>
      <w:r w:rsidRPr="004F741E">
        <w:rPr>
          <w:snapToGrid/>
          <w:szCs w:val="28"/>
        </w:rPr>
        <w:t>Yangwei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Road</w:t>
      </w:r>
      <w:proofErr w:type="spellEnd"/>
      <w:r w:rsidRPr="004F741E">
        <w:rPr>
          <w:snapToGrid/>
          <w:szCs w:val="28"/>
        </w:rPr>
        <w:t xml:space="preserve">, </w:t>
      </w:r>
      <w:proofErr w:type="spellStart"/>
      <w:r w:rsidRPr="004F741E">
        <w:rPr>
          <w:snapToGrid/>
          <w:szCs w:val="28"/>
        </w:rPr>
        <w:t>Yangzhou</w:t>
      </w:r>
      <w:proofErr w:type="spellEnd"/>
      <w:r w:rsidRPr="004F741E">
        <w:rPr>
          <w:snapToGrid/>
          <w:szCs w:val="28"/>
        </w:rPr>
        <w:t xml:space="preserve">, </w:t>
      </w:r>
      <w:proofErr w:type="spellStart"/>
      <w:r w:rsidRPr="004F741E">
        <w:rPr>
          <w:snapToGrid/>
          <w:szCs w:val="28"/>
        </w:rPr>
        <w:t>Jiangsu</w:t>
      </w:r>
      <w:proofErr w:type="spellEnd"/>
      <w:r w:rsidRPr="004F741E">
        <w:rPr>
          <w:snapToGrid/>
          <w:szCs w:val="28"/>
        </w:rPr>
        <w:t xml:space="preserve">, </w:t>
      </w:r>
      <w:proofErr w:type="spellStart"/>
      <w:r w:rsidRPr="004F741E">
        <w:rPr>
          <w:snapToGrid/>
          <w:szCs w:val="28"/>
        </w:rPr>
        <w:t>China</w:t>
      </w:r>
      <w:proofErr w:type="spellEnd"/>
      <w:r w:rsidRPr="004F741E">
        <w:rPr>
          <w:snapToGrid/>
          <w:szCs w:val="28"/>
        </w:rPr>
        <w:t xml:space="preserve"> и принять решение о заключении с ним договора </w:t>
      </w:r>
      <w:r w:rsidRPr="004F741E">
        <w:rPr>
          <w:szCs w:val="28"/>
        </w:rPr>
        <w:t>приобретения контейнеров во II квартале  2013 года на условиях, установленных документацией о закупке и заявкой участника</w:t>
      </w:r>
      <w:r w:rsidRPr="004F741E">
        <w:rPr>
          <w:snapToGrid/>
          <w:szCs w:val="28"/>
        </w:rPr>
        <w:t>.</w:t>
      </w:r>
    </w:p>
    <w:p w:rsidR="003039C8" w:rsidRPr="004F741E" w:rsidRDefault="003039C8" w:rsidP="003039C8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385"/>
      </w:tblGrid>
      <w:tr w:rsidR="003039C8" w:rsidRPr="004F741E" w:rsidTr="00DE008D">
        <w:trPr>
          <w:jc w:val="center"/>
        </w:trPr>
        <w:tc>
          <w:tcPr>
            <w:tcW w:w="9639" w:type="dxa"/>
            <w:gridSpan w:val="2"/>
          </w:tcPr>
          <w:p w:rsidR="003039C8" w:rsidRPr="004F741E" w:rsidRDefault="003039C8" w:rsidP="00DE008D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2</w:t>
            </w:r>
          </w:p>
        </w:tc>
      </w:tr>
      <w:tr w:rsidR="003039C8" w:rsidRPr="004F741E" w:rsidTr="00DE008D">
        <w:trPr>
          <w:jc w:val="center"/>
        </w:trPr>
        <w:tc>
          <w:tcPr>
            <w:tcW w:w="4254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5385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Новые универсальные сухогрузные крупнотоннажные контейнеры длиной 40 футов типоразмера 45G1 (1ААА) массой брутто 30.48 тонн в количестве - 200 единиц стандарта классифицированные стандартом ИСО 668:1995 с поправками</w:t>
            </w:r>
          </w:p>
        </w:tc>
      </w:tr>
      <w:tr w:rsidR="003039C8" w:rsidRPr="004F741E" w:rsidTr="00DE008D">
        <w:trPr>
          <w:jc w:val="center"/>
        </w:trPr>
        <w:tc>
          <w:tcPr>
            <w:tcW w:w="4254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5385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27 900 000,00 Российский рубль</w:t>
            </w:r>
          </w:p>
        </w:tc>
      </w:tr>
    </w:tbl>
    <w:p w:rsidR="003039C8" w:rsidRDefault="003039C8" w:rsidP="003039C8">
      <w:pPr>
        <w:pStyle w:val="1"/>
        <w:suppressAutoHyphens/>
        <w:ind w:firstLine="709"/>
        <w:rPr>
          <w:szCs w:val="28"/>
        </w:rPr>
      </w:pPr>
    </w:p>
    <w:p w:rsidR="003039C8" w:rsidRPr="004F741E" w:rsidRDefault="003039C8" w:rsidP="003039C8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3039C8" w:rsidRPr="004F741E" w:rsidTr="00DE008D">
        <w:trPr>
          <w:jc w:val="center"/>
        </w:trPr>
        <w:tc>
          <w:tcPr>
            <w:tcW w:w="9853" w:type="dxa"/>
            <w:gridSpan w:val="2"/>
          </w:tcPr>
          <w:p w:rsidR="003039C8" w:rsidRPr="004F741E" w:rsidRDefault="003039C8" w:rsidP="00DE008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3039C8" w:rsidRPr="00607602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Co.</w:t>
            </w:r>
            <w:proofErr w:type="gramStart"/>
            <w:r w:rsidRPr="004F741E">
              <w:rPr>
                <w:sz w:val="28"/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 w:val="28"/>
                <w:szCs w:val="28"/>
                <w:lang w:val="en-US"/>
              </w:rPr>
              <w:t xml:space="preserve"> (TCMC). </w:t>
            </w:r>
          </w:p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4F741E">
              <w:rPr>
                <w:sz w:val="28"/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 w:val="28"/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 w:val="28"/>
                <w:szCs w:val="28"/>
                <w:lang w:val="en-US"/>
              </w:rPr>
              <w:t xml:space="preserve"> Port Economic and Technological Development Zone, Jiangsu, P.R.C.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4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18.04.2013 12:31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 xml:space="preserve">26 200 112   Российский рубль </w:t>
            </w:r>
          </w:p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(830 000 </w:t>
            </w:r>
            <w:r w:rsidRPr="004F741E">
              <w:rPr>
                <w:sz w:val="28"/>
                <w:szCs w:val="28"/>
                <w:lang w:val="en-US"/>
              </w:rPr>
              <w:t>USD</w:t>
            </w:r>
            <w:r w:rsidRPr="004F741E">
              <w:rPr>
                <w:sz w:val="28"/>
                <w:szCs w:val="28"/>
              </w:rPr>
              <w:t>)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Май - Июль 2013 г.</w:t>
            </w:r>
          </w:p>
        </w:tc>
      </w:tr>
      <w:tr w:rsidR="003039C8" w:rsidRPr="004F741E" w:rsidTr="00DE008D">
        <w:trPr>
          <w:jc w:val="center"/>
        </w:trPr>
        <w:tc>
          <w:tcPr>
            <w:tcW w:w="4926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200 контейнеров по цене 4150 USD за единицу. При определении общей цены договора использовался курс ЦБ РФ на 23.04.2013 (31,5664 руб. / USD)</w:t>
            </w:r>
          </w:p>
        </w:tc>
      </w:tr>
    </w:tbl>
    <w:p w:rsidR="003039C8" w:rsidRPr="004F741E" w:rsidRDefault="003039C8" w:rsidP="003039C8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3039C8" w:rsidRPr="004F741E" w:rsidTr="00DE008D">
        <w:trPr>
          <w:jc w:val="center"/>
        </w:trPr>
        <w:tc>
          <w:tcPr>
            <w:tcW w:w="9571" w:type="dxa"/>
            <w:gridSpan w:val="2"/>
          </w:tcPr>
          <w:p w:rsidR="003039C8" w:rsidRPr="004F741E" w:rsidRDefault="003039C8" w:rsidP="00DE008D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4F741E">
              <w:rPr>
                <w:color w:val="000000"/>
                <w:szCs w:val="28"/>
                <w:u w:val="single"/>
              </w:rPr>
              <w:t>Заявка № 2</w:t>
            </w:r>
          </w:p>
        </w:tc>
      </w:tr>
      <w:tr w:rsidR="003039C8" w:rsidRPr="00607602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 xml:space="preserve">Информация о поставщике, подавшем </w:t>
            </w:r>
            <w:r w:rsidRPr="004F741E">
              <w:rPr>
                <w:sz w:val="28"/>
                <w:szCs w:val="28"/>
              </w:rPr>
              <w:lastRenderedPageBreak/>
              <w:t>заявку: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rPr>
                <w:rFonts w:eastAsia="Calibri"/>
                <w:snapToGrid/>
                <w:color w:val="000000"/>
                <w:szCs w:val="28"/>
                <w:lang w:val="en-US"/>
              </w:rPr>
            </w:pPr>
            <w:r w:rsidRPr="00607602">
              <w:rPr>
                <w:rFonts w:eastAsia="Calibri"/>
                <w:snapToGrid/>
                <w:color w:val="000000"/>
                <w:szCs w:val="28"/>
                <w:lang w:val="en-US"/>
              </w:rPr>
              <w:lastRenderedPageBreak/>
              <w:t xml:space="preserve">Yangzhou </w:t>
            </w:r>
            <w:proofErr w:type="spellStart"/>
            <w:r w:rsidRPr="004F741E">
              <w:rPr>
                <w:rFonts w:eastAsia="Calibri"/>
                <w:snapToGrid/>
                <w:color w:val="000000"/>
                <w:szCs w:val="28"/>
                <w:lang w:val="en-US"/>
              </w:rPr>
              <w:t>Runyang</w:t>
            </w:r>
            <w:proofErr w:type="spellEnd"/>
            <w:r w:rsidRPr="004F741E">
              <w:rPr>
                <w:rFonts w:eastAsia="Calibri"/>
                <w:snapToGrid/>
                <w:color w:val="000000"/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rFonts w:eastAsia="Calibri"/>
                <w:snapToGrid/>
                <w:color w:val="000000"/>
                <w:szCs w:val="28"/>
                <w:lang w:val="en-US"/>
              </w:rPr>
              <w:lastRenderedPageBreak/>
              <w:t>Co.,Ltd</w:t>
            </w:r>
            <w:proofErr w:type="spellEnd"/>
            <w:r w:rsidRPr="004F741E">
              <w:rPr>
                <w:rFonts w:eastAsia="Calibri"/>
                <w:snapToGrid/>
                <w:color w:val="000000"/>
                <w:szCs w:val="28"/>
                <w:lang w:val="en-US"/>
              </w:rPr>
              <w:t xml:space="preserve"> (RYC), </w:t>
            </w:r>
          </w:p>
          <w:p w:rsidR="003039C8" w:rsidRPr="005575EB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Юридический</w:t>
            </w:r>
            <w:r w:rsidRPr="005575EB">
              <w:rPr>
                <w:sz w:val="28"/>
                <w:szCs w:val="28"/>
                <w:lang w:val="en-US"/>
              </w:rPr>
              <w:t xml:space="preserve"> </w:t>
            </w:r>
            <w:r w:rsidRPr="004F741E">
              <w:rPr>
                <w:sz w:val="28"/>
                <w:szCs w:val="28"/>
              </w:rPr>
              <w:t>адрес</w:t>
            </w:r>
            <w:r w:rsidRPr="005575EB">
              <w:rPr>
                <w:sz w:val="28"/>
                <w:szCs w:val="28"/>
                <w:lang w:val="en-US"/>
              </w:rPr>
              <w:t xml:space="preserve">: 99th, </w:t>
            </w:r>
            <w:proofErr w:type="spellStart"/>
            <w:r w:rsidRPr="005575EB">
              <w:rPr>
                <w:sz w:val="28"/>
                <w:szCs w:val="28"/>
                <w:lang w:val="en-US"/>
              </w:rPr>
              <w:t>Yangwei</w:t>
            </w:r>
            <w:proofErr w:type="spellEnd"/>
            <w:r w:rsidRPr="005575EB">
              <w:rPr>
                <w:sz w:val="28"/>
                <w:szCs w:val="28"/>
                <w:lang w:val="en-US"/>
              </w:rPr>
              <w:t xml:space="preserve"> Road, Yangzhou, Jiangsu, China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lastRenderedPageBreak/>
              <w:t>Номер заявки в журнале регистрации: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17.04.2013 11:39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Цена поставщика: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 xml:space="preserve"> 25 631 917   Российский рубль</w:t>
            </w:r>
            <w:r w:rsidRPr="004F741E">
              <w:rPr>
                <w:sz w:val="28"/>
                <w:szCs w:val="28"/>
                <w:lang w:val="en-US"/>
              </w:rPr>
              <w:t xml:space="preserve"> </w:t>
            </w:r>
          </w:p>
          <w:p w:rsidR="003039C8" w:rsidRPr="004F741E" w:rsidRDefault="003039C8" w:rsidP="00DE008D">
            <w:pPr>
              <w:pStyle w:val="Default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  <w:lang w:val="en-US"/>
              </w:rPr>
              <w:t>(</w:t>
            </w:r>
            <w:r w:rsidRPr="004F741E">
              <w:rPr>
                <w:sz w:val="28"/>
                <w:szCs w:val="28"/>
              </w:rPr>
              <w:t>812</w:t>
            </w:r>
            <w:r w:rsidRPr="004F741E">
              <w:rPr>
                <w:sz w:val="28"/>
                <w:szCs w:val="28"/>
                <w:lang w:val="en-US"/>
              </w:rPr>
              <w:t> 000 USD)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Срок исполнения договора: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Май - Июль 2013 г.</w:t>
            </w:r>
          </w:p>
        </w:tc>
      </w:tr>
      <w:tr w:rsidR="003039C8" w:rsidRPr="004F741E" w:rsidTr="00DE008D">
        <w:trPr>
          <w:jc w:val="center"/>
        </w:trPr>
        <w:tc>
          <w:tcPr>
            <w:tcW w:w="4782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Сведения об объеме закупаемых товаров, работ, услуг:</w:t>
            </w:r>
          </w:p>
        </w:tc>
        <w:tc>
          <w:tcPr>
            <w:tcW w:w="4789" w:type="dxa"/>
            <w:vAlign w:val="center"/>
          </w:tcPr>
          <w:p w:rsidR="003039C8" w:rsidRPr="004F741E" w:rsidRDefault="003039C8" w:rsidP="00DE008D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200 контейнеров по цене 4060 USD за единицу. При определении общей цены договора использовался курс ЦБ РФ на 23.04.2013 (31,5664 руб. / USD)</w:t>
            </w:r>
          </w:p>
        </w:tc>
      </w:tr>
    </w:tbl>
    <w:p w:rsidR="003039C8" w:rsidRDefault="003039C8" w:rsidP="003039C8">
      <w:pPr>
        <w:jc w:val="both"/>
        <w:rPr>
          <w:snapToGrid/>
          <w:szCs w:val="28"/>
        </w:rPr>
      </w:pPr>
    </w:p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На основании анализа документов, предоставленных в составе заявок и заключения Заказчика</w:t>
      </w:r>
      <w:r>
        <w:rPr>
          <w:snapToGrid/>
          <w:szCs w:val="28"/>
        </w:rPr>
        <w:t>,</w:t>
      </w:r>
      <w:r w:rsidRPr="004F741E">
        <w:rPr>
          <w:snapToGrid/>
          <w:szCs w:val="28"/>
        </w:rPr>
        <w:t xml:space="preserve"> ПРГ выносит на рассмотрение Конкурсной комиссии аппарата </w:t>
      </w:r>
      <w:proofErr w:type="gramStart"/>
      <w:r w:rsidRPr="004F741E">
        <w:rPr>
          <w:snapToGrid/>
          <w:szCs w:val="28"/>
        </w:rPr>
        <w:t>управления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2.1. допустить к участию в запросе предложений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3039C8" w:rsidRPr="004F741E" w:rsidTr="00DE008D">
        <w:trPr>
          <w:jc w:val="center"/>
        </w:trPr>
        <w:tc>
          <w:tcPr>
            <w:tcW w:w="1384" w:type="dxa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4996" w:type="dxa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Cs w:val="28"/>
              </w:rPr>
            </w:pPr>
          </w:p>
        </w:tc>
        <w:tc>
          <w:tcPr>
            <w:tcW w:w="3190" w:type="dxa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3039C8" w:rsidRPr="004F741E" w:rsidTr="00DE008D">
        <w:trPr>
          <w:jc w:val="center"/>
        </w:trPr>
        <w:tc>
          <w:tcPr>
            <w:tcW w:w="1384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4</w:t>
            </w:r>
          </w:p>
        </w:tc>
        <w:tc>
          <w:tcPr>
            <w:tcW w:w="4996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CIMC Container </w:t>
            </w:r>
            <w:proofErr w:type="spellStart"/>
            <w:r w:rsidRPr="004F741E">
              <w:rPr>
                <w:szCs w:val="28"/>
                <w:lang w:val="en-US"/>
              </w:rPr>
              <w:t>Co.</w:t>
            </w:r>
            <w:proofErr w:type="gramStart"/>
            <w:r w:rsidRPr="004F741E">
              <w:rPr>
                <w:szCs w:val="28"/>
                <w:lang w:val="en-US"/>
              </w:rPr>
              <w:t>,Ltd</w:t>
            </w:r>
            <w:proofErr w:type="spellEnd"/>
            <w:proofErr w:type="gramEnd"/>
            <w:r w:rsidRPr="004F741E">
              <w:rPr>
                <w:szCs w:val="28"/>
                <w:lang w:val="en-US"/>
              </w:rPr>
              <w:t xml:space="preserve"> (TCMC). 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F741E">
              <w:rPr>
                <w:szCs w:val="28"/>
                <w:lang w:val="en-US"/>
              </w:rPr>
              <w:t xml:space="preserve">: No.96 </w:t>
            </w:r>
            <w:proofErr w:type="spellStart"/>
            <w:r w:rsidRPr="004F741E">
              <w:rPr>
                <w:szCs w:val="28"/>
                <w:lang w:val="en-US"/>
              </w:rPr>
              <w:t>Binjiang</w:t>
            </w:r>
            <w:proofErr w:type="spellEnd"/>
            <w:r w:rsidRPr="004F741E">
              <w:rPr>
                <w:szCs w:val="28"/>
                <w:lang w:val="en-US"/>
              </w:rPr>
              <w:t xml:space="preserve"> Avenue, </w:t>
            </w:r>
            <w:proofErr w:type="spellStart"/>
            <w:r w:rsidRPr="004F741E">
              <w:rPr>
                <w:szCs w:val="28"/>
                <w:lang w:val="en-US"/>
              </w:rPr>
              <w:t>Taicang</w:t>
            </w:r>
            <w:proofErr w:type="spellEnd"/>
            <w:r w:rsidRPr="004F741E">
              <w:rPr>
                <w:szCs w:val="28"/>
                <w:lang w:val="en-US"/>
              </w:rPr>
              <w:t xml:space="preserve"> Port Economic and Technological Development Zone, Jiangsu, P.R.C.</w:t>
            </w:r>
          </w:p>
        </w:tc>
        <w:tc>
          <w:tcPr>
            <w:tcW w:w="3190" w:type="dxa"/>
            <w:vAlign w:val="center"/>
          </w:tcPr>
          <w:p w:rsidR="003039C8" w:rsidRPr="004F741E" w:rsidRDefault="003039C8" w:rsidP="00DE008D">
            <w:pPr>
              <w:pStyle w:val="Default"/>
              <w:jc w:val="center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26 200 112</w:t>
            </w:r>
          </w:p>
          <w:p w:rsidR="003039C8" w:rsidRPr="004F741E" w:rsidRDefault="003039C8" w:rsidP="00DE008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Российский рубль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4F741E">
              <w:rPr>
                <w:szCs w:val="28"/>
              </w:rPr>
              <w:t xml:space="preserve">(830 000 </w:t>
            </w:r>
            <w:r w:rsidRPr="004F741E">
              <w:rPr>
                <w:szCs w:val="28"/>
                <w:lang w:val="en-US"/>
              </w:rPr>
              <w:t>USD</w:t>
            </w:r>
            <w:r w:rsidRPr="004F741E">
              <w:rPr>
                <w:szCs w:val="28"/>
              </w:rPr>
              <w:t>)</w:t>
            </w:r>
          </w:p>
        </w:tc>
      </w:tr>
      <w:tr w:rsidR="003039C8" w:rsidRPr="004F741E" w:rsidTr="00DE008D">
        <w:trPr>
          <w:jc w:val="center"/>
        </w:trPr>
        <w:tc>
          <w:tcPr>
            <w:tcW w:w="1384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4996" w:type="dxa"/>
            <w:vAlign w:val="center"/>
          </w:tcPr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 w:rsidRPr="00607602">
              <w:rPr>
                <w:szCs w:val="28"/>
                <w:lang w:val="en-US"/>
              </w:rPr>
              <w:t xml:space="preserve">Yangzhou </w:t>
            </w:r>
            <w:proofErr w:type="spellStart"/>
            <w:r w:rsidRPr="004F741E">
              <w:rPr>
                <w:szCs w:val="28"/>
                <w:lang w:val="en-US"/>
              </w:rPr>
              <w:t>Runyang</w:t>
            </w:r>
            <w:proofErr w:type="spellEnd"/>
            <w:r w:rsidRPr="004F741E">
              <w:rPr>
                <w:szCs w:val="28"/>
                <w:lang w:val="en-US"/>
              </w:rPr>
              <w:t xml:space="preserve"> Logistic Equipment </w:t>
            </w:r>
            <w:proofErr w:type="spellStart"/>
            <w:r w:rsidRPr="004F741E">
              <w:rPr>
                <w:szCs w:val="28"/>
                <w:lang w:val="en-US"/>
              </w:rPr>
              <w:t>Co.,Ltd</w:t>
            </w:r>
            <w:proofErr w:type="spellEnd"/>
            <w:r w:rsidRPr="004F741E">
              <w:rPr>
                <w:szCs w:val="28"/>
                <w:lang w:val="en-US"/>
              </w:rPr>
              <w:t xml:space="preserve"> (RYC),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 w:rsidRPr="004F741E">
              <w:rPr>
                <w:szCs w:val="28"/>
              </w:rPr>
              <w:t>Юридический</w:t>
            </w:r>
            <w:r w:rsidRPr="004F741E">
              <w:rPr>
                <w:szCs w:val="28"/>
                <w:lang w:val="en-US"/>
              </w:rPr>
              <w:t xml:space="preserve"> </w:t>
            </w:r>
            <w:r w:rsidRPr="004F741E">
              <w:rPr>
                <w:szCs w:val="28"/>
              </w:rPr>
              <w:t>адрес</w:t>
            </w:r>
            <w:r w:rsidRPr="004F741E">
              <w:rPr>
                <w:szCs w:val="28"/>
                <w:lang w:val="en-US"/>
              </w:rPr>
              <w:t xml:space="preserve">: 99th, </w:t>
            </w:r>
            <w:proofErr w:type="spellStart"/>
            <w:r w:rsidRPr="004F741E">
              <w:rPr>
                <w:szCs w:val="28"/>
                <w:lang w:val="en-US"/>
              </w:rPr>
              <w:t>Yangwei</w:t>
            </w:r>
            <w:proofErr w:type="spellEnd"/>
            <w:r w:rsidRPr="004F741E">
              <w:rPr>
                <w:szCs w:val="28"/>
                <w:lang w:val="en-US"/>
              </w:rPr>
              <w:t xml:space="preserve"> Road, Yangzhou, Jiangsu, China</w:t>
            </w:r>
          </w:p>
        </w:tc>
        <w:tc>
          <w:tcPr>
            <w:tcW w:w="3190" w:type="dxa"/>
            <w:vAlign w:val="center"/>
          </w:tcPr>
          <w:p w:rsidR="003039C8" w:rsidRPr="004F741E" w:rsidRDefault="003039C8" w:rsidP="00DE008D">
            <w:pPr>
              <w:pStyle w:val="Default"/>
              <w:jc w:val="center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25 631 917</w:t>
            </w:r>
          </w:p>
          <w:p w:rsidR="003039C8" w:rsidRPr="004F741E" w:rsidRDefault="003039C8" w:rsidP="00DE008D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4F741E">
              <w:rPr>
                <w:sz w:val="28"/>
                <w:szCs w:val="28"/>
              </w:rPr>
              <w:t>Российский рубль</w:t>
            </w:r>
          </w:p>
          <w:p w:rsidR="003039C8" w:rsidRPr="004F741E" w:rsidRDefault="003039C8" w:rsidP="00DE008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Cs w:val="28"/>
              </w:rPr>
            </w:pPr>
            <w:r w:rsidRPr="004F741E">
              <w:rPr>
                <w:szCs w:val="28"/>
                <w:lang w:val="en-US"/>
              </w:rPr>
              <w:t>(</w:t>
            </w:r>
            <w:r w:rsidRPr="004F741E">
              <w:rPr>
                <w:szCs w:val="28"/>
              </w:rPr>
              <w:t>812</w:t>
            </w:r>
            <w:r w:rsidRPr="004F741E">
              <w:rPr>
                <w:szCs w:val="28"/>
                <w:lang w:val="en-US"/>
              </w:rPr>
              <w:t> 000 USD)</w:t>
            </w:r>
          </w:p>
        </w:tc>
      </w:tr>
    </w:tbl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>2.2. признать запрос предложений по Лоту № 2 состоявшимся;</w:t>
      </w:r>
    </w:p>
    <w:p w:rsidR="003039C8" w:rsidRPr="004F741E" w:rsidRDefault="003039C8" w:rsidP="003039C8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2.3. признать победителем запроса предложений по Лоту № 2 </w:t>
      </w:r>
      <w:r w:rsidRPr="004F741E">
        <w:rPr>
          <w:snapToGrid/>
          <w:szCs w:val="28"/>
        </w:rPr>
        <w:br/>
      </w:r>
      <w:proofErr w:type="spellStart"/>
      <w:r w:rsidRPr="00607602">
        <w:rPr>
          <w:snapToGrid/>
          <w:szCs w:val="28"/>
        </w:rPr>
        <w:t>Yangzhou</w:t>
      </w:r>
      <w:proofErr w:type="spellEnd"/>
      <w:r w:rsidRPr="00607602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Runyang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Logistic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Equipment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Co.,Ltd</w:t>
      </w:r>
      <w:proofErr w:type="spellEnd"/>
      <w:r w:rsidRPr="004F741E">
        <w:rPr>
          <w:snapToGrid/>
          <w:szCs w:val="28"/>
        </w:rPr>
        <w:t xml:space="preserve"> (RYC), Юридический адрес: 99th, </w:t>
      </w:r>
      <w:proofErr w:type="spellStart"/>
      <w:r w:rsidRPr="004F741E">
        <w:rPr>
          <w:snapToGrid/>
          <w:szCs w:val="28"/>
        </w:rPr>
        <w:t>Yangwei</w:t>
      </w:r>
      <w:proofErr w:type="spellEnd"/>
      <w:r w:rsidRPr="004F741E">
        <w:rPr>
          <w:snapToGrid/>
          <w:szCs w:val="28"/>
        </w:rPr>
        <w:t xml:space="preserve"> </w:t>
      </w:r>
      <w:proofErr w:type="spellStart"/>
      <w:r w:rsidRPr="004F741E">
        <w:rPr>
          <w:snapToGrid/>
          <w:szCs w:val="28"/>
        </w:rPr>
        <w:t>Road</w:t>
      </w:r>
      <w:proofErr w:type="spellEnd"/>
      <w:r w:rsidRPr="004F741E">
        <w:rPr>
          <w:snapToGrid/>
          <w:szCs w:val="28"/>
        </w:rPr>
        <w:t xml:space="preserve">, </w:t>
      </w:r>
      <w:proofErr w:type="spellStart"/>
      <w:r w:rsidRPr="004F741E">
        <w:rPr>
          <w:snapToGrid/>
          <w:szCs w:val="28"/>
        </w:rPr>
        <w:t>Yangzhou</w:t>
      </w:r>
      <w:proofErr w:type="spellEnd"/>
      <w:r w:rsidRPr="004F741E">
        <w:rPr>
          <w:snapToGrid/>
          <w:szCs w:val="28"/>
        </w:rPr>
        <w:t xml:space="preserve">, </w:t>
      </w:r>
      <w:proofErr w:type="spellStart"/>
      <w:r w:rsidRPr="004F741E">
        <w:rPr>
          <w:snapToGrid/>
          <w:szCs w:val="28"/>
        </w:rPr>
        <w:t>Jiangsu</w:t>
      </w:r>
      <w:proofErr w:type="spellEnd"/>
      <w:r w:rsidRPr="004F741E">
        <w:rPr>
          <w:snapToGrid/>
          <w:szCs w:val="28"/>
        </w:rPr>
        <w:t xml:space="preserve">, </w:t>
      </w:r>
      <w:proofErr w:type="spellStart"/>
      <w:r w:rsidRPr="004F741E">
        <w:rPr>
          <w:snapToGrid/>
          <w:szCs w:val="28"/>
        </w:rPr>
        <w:t>China</w:t>
      </w:r>
      <w:proofErr w:type="spellEnd"/>
      <w:r w:rsidRPr="004F741E">
        <w:rPr>
          <w:snapToGrid/>
          <w:szCs w:val="28"/>
        </w:rPr>
        <w:t xml:space="preserve"> и принять решение о заключении с ним договора </w:t>
      </w:r>
      <w:r w:rsidRPr="004F741E">
        <w:rPr>
          <w:szCs w:val="28"/>
        </w:rPr>
        <w:t>приобретения контейнеров во II квартале  2013 года на условиях, установленных документацией о закупке и заявкой участника</w:t>
      </w:r>
      <w:r w:rsidRPr="004F741E">
        <w:rPr>
          <w:snapToGrid/>
          <w:szCs w:val="28"/>
        </w:rPr>
        <w:t>.</w:t>
      </w:r>
    </w:p>
    <w:p w:rsidR="003039C8" w:rsidRPr="004F741E" w:rsidRDefault="003039C8" w:rsidP="003039C8">
      <w:pPr>
        <w:pStyle w:val="1"/>
        <w:suppressAutoHyphens/>
        <w:ind w:firstLine="709"/>
        <w:rPr>
          <w:szCs w:val="28"/>
        </w:rPr>
      </w:pPr>
    </w:p>
    <w:p w:rsidR="003039C8" w:rsidRPr="00982CB4" w:rsidRDefault="003039C8" w:rsidP="003039C8">
      <w:pPr>
        <w:jc w:val="both"/>
        <w:rPr>
          <w:snapToGrid/>
          <w:szCs w:val="28"/>
        </w:rPr>
      </w:pPr>
      <w:r w:rsidRPr="00982CB4">
        <w:rPr>
          <w:snapToGrid/>
          <w:szCs w:val="28"/>
        </w:rPr>
        <w:t xml:space="preserve">3. </w:t>
      </w:r>
      <w:proofErr w:type="gramStart"/>
      <w:r w:rsidRPr="00982CB4">
        <w:rPr>
          <w:snapToGrid/>
          <w:szCs w:val="28"/>
        </w:rPr>
        <w:t xml:space="preserve">В случае согласия Конкурсной комиссии с предложениями ПРГ, с целью оптимизации процедуры заключения договоров по итогам открытого конкурса, учитывая, что </w:t>
      </w:r>
      <w:proofErr w:type="spellStart"/>
      <w:r w:rsidRPr="00607602">
        <w:rPr>
          <w:snapToGrid/>
          <w:szCs w:val="28"/>
        </w:rPr>
        <w:t>Yangzhou</w:t>
      </w:r>
      <w:proofErr w:type="spellEnd"/>
      <w:r w:rsidRPr="00607602">
        <w:rPr>
          <w:snapToGrid/>
          <w:szCs w:val="28"/>
        </w:rPr>
        <w:t xml:space="preserve"> </w:t>
      </w:r>
      <w:proofErr w:type="spellStart"/>
      <w:r w:rsidRPr="00982CB4">
        <w:rPr>
          <w:snapToGrid/>
          <w:szCs w:val="28"/>
        </w:rPr>
        <w:t>Runyang</w:t>
      </w:r>
      <w:proofErr w:type="spellEnd"/>
      <w:r w:rsidRPr="00982CB4">
        <w:rPr>
          <w:snapToGrid/>
          <w:szCs w:val="28"/>
        </w:rPr>
        <w:t xml:space="preserve"> </w:t>
      </w:r>
      <w:proofErr w:type="spellStart"/>
      <w:r w:rsidRPr="00982CB4">
        <w:rPr>
          <w:snapToGrid/>
          <w:szCs w:val="28"/>
        </w:rPr>
        <w:t>Logistic</w:t>
      </w:r>
      <w:proofErr w:type="spellEnd"/>
      <w:r w:rsidRPr="00982CB4">
        <w:rPr>
          <w:snapToGrid/>
          <w:szCs w:val="28"/>
        </w:rPr>
        <w:t xml:space="preserve"> </w:t>
      </w:r>
      <w:proofErr w:type="spellStart"/>
      <w:r w:rsidRPr="00982CB4">
        <w:rPr>
          <w:snapToGrid/>
          <w:szCs w:val="28"/>
        </w:rPr>
        <w:t>Equipment</w:t>
      </w:r>
      <w:proofErr w:type="spellEnd"/>
      <w:r w:rsidRPr="00982CB4">
        <w:rPr>
          <w:snapToGrid/>
          <w:szCs w:val="28"/>
        </w:rPr>
        <w:t xml:space="preserve"> </w:t>
      </w:r>
      <w:proofErr w:type="spellStart"/>
      <w:r w:rsidRPr="00982CB4">
        <w:rPr>
          <w:snapToGrid/>
          <w:szCs w:val="28"/>
        </w:rPr>
        <w:t>Co.,Ltd</w:t>
      </w:r>
      <w:proofErr w:type="spellEnd"/>
      <w:r w:rsidRPr="00982CB4">
        <w:rPr>
          <w:snapToGrid/>
          <w:szCs w:val="28"/>
        </w:rPr>
        <w:t xml:space="preserve"> (RYC),</w:t>
      </w:r>
      <w:r>
        <w:rPr>
          <w:snapToGrid/>
          <w:szCs w:val="28"/>
        </w:rPr>
        <w:t xml:space="preserve"> будет являться победителем запроса предложений по всем двум Лотам</w:t>
      </w:r>
      <w:r w:rsidRPr="00982CB4">
        <w:rPr>
          <w:snapToGrid/>
          <w:szCs w:val="28"/>
        </w:rPr>
        <w:t xml:space="preserve">, рекомендовать Конкурсной комиссии принять решение о заключении с указанным участником одного </w:t>
      </w:r>
      <w:r>
        <w:rPr>
          <w:snapToGrid/>
          <w:szCs w:val="28"/>
        </w:rPr>
        <w:t xml:space="preserve">единого </w:t>
      </w:r>
      <w:r w:rsidRPr="00982CB4">
        <w:rPr>
          <w:snapToGrid/>
          <w:szCs w:val="28"/>
        </w:rPr>
        <w:t xml:space="preserve">договора </w:t>
      </w:r>
      <w:r w:rsidRPr="004F741E">
        <w:rPr>
          <w:szCs w:val="28"/>
        </w:rPr>
        <w:t xml:space="preserve">приобретения контейнеров во </w:t>
      </w:r>
      <w:r w:rsidRPr="004F741E">
        <w:rPr>
          <w:szCs w:val="28"/>
        </w:rPr>
        <w:lastRenderedPageBreak/>
        <w:t>II квартале  2013 года на условиях, установленных документацией</w:t>
      </w:r>
      <w:proofErr w:type="gramEnd"/>
      <w:r w:rsidRPr="004F741E">
        <w:rPr>
          <w:szCs w:val="28"/>
        </w:rPr>
        <w:t xml:space="preserve"> о закупке и заявкой участника</w:t>
      </w:r>
      <w:r w:rsidRPr="00982CB4">
        <w:rPr>
          <w:snapToGrid/>
          <w:szCs w:val="28"/>
        </w:rPr>
        <w:t>.</w:t>
      </w: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p w:rsidR="003F14FB" w:rsidRPr="004F741E" w:rsidRDefault="003F14FB" w:rsidP="003F14FB">
      <w:pPr>
        <w:pStyle w:val="1"/>
        <w:suppressAutoHyphens/>
        <w:ind w:firstLine="0"/>
        <w:rPr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218"/>
        <w:gridCol w:w="3856"/>
        <w:gridCol w:w="2388"/>
      </w:tblGrid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3F14FB">
            <w:pPr>
              <w:spacing w:after="120"/>
              <w:ind w:left="-108" w:firstLine="0"/>
              <w:rPr>
                <w:szCs w:val="28"/>
              </w:rPr>
            </w:pPr>
            <w:r w:rsidRPr="004F741E">
              <w:rPr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4F741E" w:rsidRDefault="003F14FB" w:rsidP="003F14FB">
            <w:pPr>
              <w:spacing w:after="120"/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6B2CFC">
            <w:pPr>
              <w:spacing w:after="120"/>
              <w:jc w:val="right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9462" w:type="dxa"/>
            <w:gridSpan w:val="3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Члены ПРГ:</w:t>
            </w: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5575EB">
            <w:pPr>
              <w:ind w:firstLine="0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6B2CFC">
            <w:pPr>
              <w:jc w:val="right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6B2CFC">
            <w:pPr>
              <w:spacing w:after="120"/>
              <w:rPr>
                <w:szCs w:val="28"/>
              </w:rPr>
            </w:pPr>
          </w:p>
        </w:tc>
        <w:tc>
          <w:tcPr>
            <w:tcW w:w="3402" w:type="dxa"/>
          </w:tcPr>
          <w:p w:rsidR="003F14FB" w:rsidRPr="004F741E" w:rsidRDefault="003F14FB" w:rsidP="006B2CFC">
            <w:pPr>
              <w:rPr>
                <w:szCs w:val="28"/>
              </w:rPr>
            </w:pPr>
          </w:p>
        </w:tc>
        <w:tc>
          <w:tcPr>
            <w:tcW w:w="2658" w:type="dxa"/>
          </w:tcPr>
          <w:p w:rsidR="003F14FB" w:rsidRPr="004F741E" w:rsidRDefault="003F14FB" w:rsidP="006B2CFC">
            <w:pPr>
              <w:jc w:val="right"/>
              <w:rPr>
                <w:szCs w:val="28"/>
              </w:rPr>
            </w:pPr>
          </w:p>
        </w:tc>
      </w:tr>
      <w:tr w:rsidR="003F14FB" w:rsidRPr="004F741E" w:rsidTr="006B2CFC">
        <w:trPr>
          <w:trHeight w:val="567"/>
        </w:trPr>
        <w:tc>
          <w:tcPr>
            <w:tcW w:w="3402" w:type="dxa"/>
          </w:tcPr>
          <w:p w:rsidR="003F14FB" w:rsidRPr="004F741E" w:rsidRDefault="003F14FB" w:rsidP="003F14FB">
            <w:pPr>
              <w:spacing w:after="120"/>
              <w:ind w:hanging="108"/>
              <w:rPr>
                <w:szCs w:val="28"/>
              </w:rPr>
            </w:pPr>
            <w:r w:rsidRPr="004F741E">
              <w:rPr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3F14FB" w:rsidRPr="004F741E" w:rsidRDefault="003F14FB" w:rsidP="003F14FB">
            <w:pPr>
              <w:ind w:firstLine="0"/>
              <w:rPr>
                <w:szCs w:val="28"/>
              </w:rPr>
            </w:pPr>
            <w:r w:rsidRPr="004F741E">
              <w:rPr>
                <w:szCs w:val="28"/>
              </w:rPr>
              <w:t>__________________________</w:t>
            </w:r>
          </w:p>
        </w:tc>
        <w:tc>
          <w:tcPr>
            <w:tcW w:w="2658" w:type="dxa"/>
          </w:tcPr>
          <w:p w:rsidR="003F14FB" w:rsidRPr="004F741E" w:rsidRDefault="003F14FB" w:rsidP="003F14FB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3F14FB" w:rsidRPr="004F741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F14FB" w:rsidRPr="004F741E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A23329" w:rsidRDefault="00114E36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CD55E3" w:rsidRPr="004F741E">
        <w:rPr>
          <w:b/>
          <w:szCs w:val="28"/>
        </w:rPr>
        <w:t>26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апреля 2013 г. </w:t>
      </w:r>
    </w:p>
    <w:sectPr w:rsidR="00A23329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5B" w:rsidRDefault="007E095B" w:rsidP="002C7C03">
      <w:r>
        <w:separator/>
      </w:r>
    </w:p>
  </w:endnote>
  <w:endnote w:type="continuationSeparator" w:id="0">
    <w:p w:rsidR="007E095B" w:rsidRDefault="007E095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5B" w:rsidRDefault="007E095B" w:rsidP="002C7C03">
      <w:r>
        <w:separator/>
      </w:r>
    </w:p>
  </w:footnote>
  <w:footnote w:type="continuationSeparator" w:id="0">
    <w:p w:rsidR="007E095B" w:rsidRDefault="007E095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E46106">
        <w:pPr>
          <w:pStyle w:val="a9"/>
          <w:jc w:val="center"/>
        </w:pPr>
        <w:fldSimple w:instr=" PAGE   \* MERGEFORMAT ">
          <w:r w:rsidR="003039C8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39C8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6890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3E61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6106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DFCC-8446-4423-B9D1-8C683DD0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3</cp:revision>
  <cp:lastPrinted>2013-04-29T10:04:00Z</cp:lastPrinted>
  <dcterms:created xsi:type="dcterms:W3CDTF">2013-04-29T13:09:00Z</dcterms:created>
  <dcterms:modified xsi:type="dcterms:W3CDTF">2013-04-30T07:22:00Z</dcterms:modified>
</cp:coreProperties>
</file>