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2" w:rsidRDefault="00E41C82" w:rsidP="00AF52AE">
      <w:pPr>
        <w:contextualSpacing/>
        <w:jc w:val="both"/>
        <w:rPr>
          <w:sz w:val="20"/>
        </w:rPr>
      </w:pPr>
    </w:p>
    <w:p w:rsidR="00354439" w:rsidRPr="0024584A" w:rsidRDefault="00354439" w:rsidP="00354439">
      <w:pPr>
        <w:jc w:val="center"/>
        <w:rPr>
          <w:rFonts w:eastAsiaTheme="majorEastAsia"/>
          <w:b/>
          <w:bCs/>
          <w:szCs w:val="28"/>
          <w:lang w:eastAsia="en-US"/>
        </w:rPr>
      </w:pPr>
      <w:r w:rsidRPr="0024584A">
        <w:rPr>
          <w:rFonts w:eastAsiaTheme="majorEastAsia"/>
          <w:b/>
          <w:bCs/>
          <w:szCs w:val="28"/>
          <w:lang w:eastAsia="en-US"/>
        </w:rPr>
        <w:t>ИЗВЕЩЕНИЕ</w:t>
      </w:r>
    </w:p>
    <w:p w:rsidR="00354439" w:rsidRPr="009D7D4D" w:rsidRDefault="00354439" w:rsidP="00354439">
      <w:pPr>
        <w:jc w:val="center"/>
        <w:rPr>
          <w:rFonts w:eastAsiaTheme="majorEastAsia"/>
          <w:b/>
          <w:bCs/>
          <w:szCs w:val="28"/>
          <w:lang w:eastAsia="en-US"/>
        </w:rPr>
      </w:pPr>
      <w:r w:rsidRPr="009D7D4D">
        <w:rPr>
          <w:rFonts w:eastAsiaTheme="majorEastAsia"/>
          <w:b/>
          <w:bCs/>
          <w:szCs w:val="28"/>
          <w:lang w:eastAsia="en-US"/>
        </w:rPr>
        <w:t>О РАЗМЕЩЕНИИ ЗАКАЗА № ЕП</w:t>
      </w:r>
      <w:r w:rsidRPr="00CC4657">
        <w:rPr>
          <w:rFonts w:eastAsiaTheme="majorEastAsia"/>
          <w:b/>
          <w:bCs/>
          <w:szCs w:val="28"/>
          <w:lang w:eastAsia="en-US"/>
        </w:rPr>
        <w:t>-</w:t>
      </w:r>
      <w:r w:rsidR="00CC4657" w:rsidRPr="00CC4657">
        <w:rPr>
          <w:rFonts w:eastAsiaTheme="majorEastAsia"/>
          <w:b/>
          <w:bCs/>
          <w:szCs w:val="28"/>
          <w:lang w:eastAsia="en-US"/>
        </w:rPr>
        <w:t>ЦКПСР</w:t>
      </w:r>
      <w:r w:rsidRPr="00CC4657">
        <w:rPr>
          <w:rFonts w:eastAsiaTheme="majorEastAsia"/>
          <w:b/>
          <w:bCs/>
          <w:szCs w:val="28"/>
          <w:lang w:eastAsia="en-US"/>
        </w:rPr>
        <w:t>-</w:t>
      </w:r>
      <w:r w:rsidR="00CC4657" w:rsidRPr="00CC4657">
        <w:rPr>
          <w:rFonts w:eastAsiaTheme="majorEastAsia"/>
          <w:b/>
          <w:bCs/>
          <w:szCs w:val="28"/>
          <w:lang w:eastAsia="en-US"/>
        </w:rPr>
        <w:t>17</w:t>
      </w:r>
      <w:r w:rsidR="00CC4657" w:rsidRPr="00CC4657">
        <w:rPr>
          <w:rFonts w:eastAsiaTheme="majorEastAsia"/>
          <w:b/>
          <w:bCs/>
          <w:szCs w:val="28"/>
          <w:lang w:eastAsia="en-US"/>
        </w:rPr>
        <w:t>-</w:t>
      </w:r>
      <w:r w:rsidR="00CC4657" w:rsidRPr="00CC4657">
        <w:rPr>
          <w:rFonts w:eastAsiaTheme="majorEastAsia"/>
          <w:b/>
          <w:bCs/>
          <w:szCs w:val="28"/>
          <w:lang w:eastAsia="en-US"/>
        </w:rPr>
        <w:t>0011</w:t>
      </w:r>
    </w:p>
    <w:p w:rsidR="00354439" w:rsidRPr="00354439" w:rsidRDefault="00354439" w:rsidP="00354439">
      <w:pPr>
        <w:jc w:val="center"/>
        <w:rPr>
          <w:rFonts w:eastAsiaTheme="majorEastAsia"/>
          <w:b/>
          <w:bCs/>
          <w:szCs w:val="28"/>
          <w:lang w:eastAsia="en-US"/>
        </w:rPr>
      </w:pPr>
      <w:r w:rsidRPr="00354439">
        <w:rPr>
          <w:rFonts w:eastAsiaTheme="majorEastAsia"/>
          <w:b/>
          <w:bCs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354439" w:rsidRDefault="00354439" w:rsidP="00354439">
      <w:pPr>
        <w:jc w:val="both"/>
      </w:pPr>
    </w:p>
    <w:p w:rsidR="00354439" w:rsidRPr="00CB1C18" w:rsidRDefault="00354439" w:rsidP="00001CD0">
      <w:pPr>
        <w:spacing w:line="360" w:lineRule="exact"/>
        <w:ind w:firstLine="709"/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 xml:space="preserve">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r w:rsidRPr="00CC4657">
        <w:t>ЕП</w:t>
      </w:r>
      <w:r w:rsidR="00CC4657" w:rsidRPr="00CC4657">
        <w:t>-</w:t>
      </w:r>
      <w:r w:rsidR="00CC4657" w:rsidRPr="00CC4657">
        <w:t>ЦКПСР</w:t>
      </w:r>
      <w:r w:rsidR="00CC4657" w:rsidRPr="00CC4657">
        <w:t>-</w:t>
      </w:r>
      <w:r w:rsidR="00CC4657" w:rsidRPr="00CC4657">
        <w:t>17</w:t>
      </w:r>
      <w:r w:rsidR="00CC4657" w:rsidRPr="00CC4657">
        <w:t>-</w:t>
      </w:r>
      <w:r w:rsidR="00CC4657" w:rsidRPr="00CC4657">
        <w:t>0011</w:t>
      </w:r>
      <w:r w:rsidR="00CC4657" w:rsidRPr="00CB1C18">
        <w:t xml:space="preserve"> </w:t>
      </w:r>
      <w:r w:rsidRPr="009D7D4D">
        <w:t>на закупку товаров, выполнение работ и оказание услуг у</w:t>
      </w:r>
      <w:proofErr w:type="gramEnd"/>
      <w:r w:rsidRPr="009D7D4D">
        <w:t xml:space="preserve">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354439" w:rsidRDefault="00354439" w:rsidP="00001CD0">
      <w:pPr>
        <w:spacing w:line="360" w:lineRule="exact"/>
        <w:ind w:firstLine="709"/>
        <w:jc w:val="both"/>
        <w:rPr>
          <w:b/>
        </w:rPr>
      </w:pPr>
    </w:p>
    <w:p w:rsidR="00354439" w:rsidRDefault="00354439" w:rsidP="00001CD0">
      <w:pPr>
        <w:spacing w:line="360" w:lineRule="exact"/>
        <w:ind w:firstLine="709"/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354439" w:rsidRDefault="00354439" w:rsidP="00001CD0">
      <w:pPr>
        <w:spacing w:line="360" w:lineRule="exact"/>
        <w:ind w:firstLine="709"/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354439" w:rsidRDefault="00354439" w:rsidP="00001CD0">
      <w:pPr>
        <w:spacing w:line="360" w:lineRule="exact"/>
        <w:ind w:firstLine="709"/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354439" w:rsidRDefault="00354439" w:rsidP="00001CD0">
      <w:pPr>
        <w:spacing w:line="360" w:lineRule="exact"/>
        <w:ind w:firstLine="709"/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r w:rsidR="00C34E42" w:rsidRPr="00001CD0">
        <w:t>zakupki@trcont.ru</w:t>
      </w:r>
      <w:r w:rsidRPr="008A767E">
        <w:t>.</w:t>
      </w:r>
    </w:p>
    <w:p w:rsidR="00354439" w:rsidRDefault="00354439" w:rsidP="00001CD0">
      <w:pPr>
        <w:spacing w:line="360" w:lineRule="exact"/>
        <w:ind w:firstLine="709"/>
        <w:jc w:val="both"/>
      </w:pPr>
    </w:p>
    <w:p w:rsidR="00354439" w:rsidRPr="00216833" w:rsidRDefault="00354439" w:rsidP="00001CD0">
      <w:pPr>
        <w:spacing w:line="360" w:lineRule="exact"/>
        <w:ind w:firstLine="709"/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354439" w:rsidRDefault="00354439" w:rsidP="00001CD0">
      <w:pPr>
        <w:spacing w:line="360" w:lineRule="exact"/>
        <w:ind w:firstLine="709"/>
        <w:jc w:val="both"/>
      </w:pPr>
      <w:r>
        <w:t xml:space="preserve">Ф.И.О.: </w:t>
      </w:r>
      <w:r w:rsidR="00A2685E">
        <w:t>Цветков Дмитрий Александрович</w:t>
      </w:r>
    </w:p>
    <w:p w:rsidR="00354439" w:rsidRPr="00DA34DF" w:rsidRDefault="00354439" w:rsidP="00001CD0">
      <w:pPr>
        <w:spacing w:line="360" w:lineRule="exact"/>
        <w:ind w:firstLine="709"/>
        <w:jc w:val="both"/>
      </w:pPr>
      <w:r w:rsidRPr="00C64E36">
        <w:t xml:space="preserve">Адрес электронной почты: </w:t>
      </w:r>
      <w:proofErr w:type="spellStart"/>
      <w:r w:rsidR="00DA34DF">
        <w:rPr>
          <w:lang w:val="en-US"/>
        </w:rPr>
        <w:t>CvetkovDA</w:t>
      </w:r>
      <w:proofErr w:type="spellEnd"/>
      <w:r w:rsidR="00DA34DF" w:rsidRPr="00DA34DF">
        <w:t>@</w:t>
      </w:r>
      <w:proofErr w:type="spellStart"/>
      <w:r w:rsidR="00DA34DF">
        <w:rPr>
          <w:lang w:val="en-US"/>
        </w:rPr>
        <w:t>trcont</w:t>
      </w:r>
      <w:proofErr w:type="spellEnd"/>
      <w:r w:rsidR="00DA34DF" w:rsidRPr="00DA34DF">
        <w:t>.</w:t>
      </w:r>
      <w:proofErr w:type="spellStart"/>
      <w:r w:rsidR="00DA34DF">
        <w:rPr>
          <w:lang w:val="en-US"/>
        </w:rPr>
        <w:t>ru</w:t>
      </w:r>
      <w:proofErr w:type="spellEnd"/>
    </w:p>
    <w:p w:rsidR="00354439" w:rsidRPr="00C64E36" w:rsidRDefault="00354439" w:rsidP="00001CD0">
      <w:pPr>
        <w:spacing w:line="360" w:lineRule="exact"/>
        <w:ind w:firstLine="709"/>
        <w:jc w:val="both"/>
      </w:pPr>
      <w:r>
        <w:t>Т</w:t>
      </w:r>
      <w:r w:rsidRPr="00C64E36">
        <w:t xml:space="preserve">елефон: </w:t>
      </w:r>
      <w:r w:rsidR="00DA34DF" w:rsidRPr="00DA34DF">
        <w:t xml:space="preserve">+7 (495) 788-17-17 </w:t>
      </w:r>
      <w:r w:rsidR="00DA34DF">
        <w:t>доб. 13-70.</w:t>
      </w:r>
      <w:r w:rsidRPr="00C64E36">
        <w:t xml:space="preserve"> </w:t>
      </w:r>
    </w:p>
    <w:p w:rsidR="00354439" w:rsidRDefault="00354439" w:rsidP="00001CD0">
      <w:pPr>
        <w:spacing w:line="360" w:lineRule="exact"/>
        <w:ind w:firstLine="709"/>
        <w:jc w:val="both"/>
      </w:pPr>
    </w:p>
    <w:p w:rsidR="00354439" w:rsidRPr="00354439" w:rsidRDefault="00354439" w:rsidP="00001CD0">
      <w:pPr>
        <w:spacing w:line="360" w:lineRule="exact"/>
        <w:ind w:firstLine="709"/>
        <w:jc w:val="both"/>
        <w:rPr>
          <w:i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9C1A62">
        <w:rPr>
          <w:szCs w:val="28"/>
        </w:rPr>
        <w:t>оказание услуг по подготовке «Концепции развития контейнерных перевозок в Российской Федерации»</w:t>
      </w:r>
      <w:r w:rsidRPr="00354439">
        <w:rPr>
          <w:szCs w:val="28"/>
        </w:rPr>
        <w:t>.</w:t>
      </w:r>
    </w:p>
    <w:p w:rsidR="00354439" w:rsidRPr="00354439" w:rsidRDefault="00354439" w:rsidP="00001CD0">
      <w:pPr>
        <w:spacing w:line="360" w:lineRule="exact"/>
        <w:ind w:firstLine="709"/>
        <w:jc w:val="both"/>
        <w:rPr>
          <w:szCs w:val="28"/>
        </w:rPr>
      </w:pPr>
    </w:p>
    <w:p w:rsidR="00354439" w:rsidRPr="00AC0842" w:rsidRDefault="00354439" w:rsidP="00001CD0">
      <w:pPr>
        <w:spacing w:line="360" w:lineRule="exact"/>
        <w:ind w:firstLine="709"/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354439" w:rsidRPr="00053488" w:rsidTr="00001CD0">
        <w:tc>
          <w:tcPr>
            <w:tcW w:w="675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54439" w:rsidRPr="00053488" w:rsidTr="00001CD0">
        <w:tc>
          <w:tcPr>
            <w:tcW w:w="675" w:type="dxa"/>
          </w:tcPr>
          <w:p w:rsidR="00354439" w:rsidRPr="00053488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354439" w:rsidRPr="00053488" w:rsidRDefault="00B11FAB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11FAB">
              <w:rPr>
                <w:sz w:val="24"/>
                <w:szCs w:val="24"/>
              </w:rPr>
              <w:t xml:space="preserve">74.90.1   </w:t>
            </w:r>
          </w:p>
        </w:tc>
        <w:tc>
          <w:tcPr>
            <w:tcW w:w="1819" w:type="dxa"/>
          </w:tcPr>
          <w:p w:rsidR="00354439" w:rsidRPr="00053488" w:rsidRDefault="00B11FAB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74.90</w:t>
            </w:r>
          </w:p>
        </w:tc>
        <w:tc>
          <w:tcPr>
            <w:tcW w:w="1417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</w:tcPr>
          <w:p w:rsidR="00354439" w:rsidRPr="00354439" w:rsidRDefault="00354439" w:rsidP="00001CD0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</w:tcPr>
          <w:p w:rsidR="00354439" w:rsidRPr="00053488" w:rsidRDefault="00354439" w:rsidP="00CC465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 xml:space="preserve">Строка годового плана закупок </w:t>
            </w:r>
            <w:r w:rsidR="00CC4657" w:rsidRPr="00280E07">
              <w:rPr>
                <w:sz w:val="24"/>
                <w:szCs w:val="24"/>
              </w:rPr>
              <w:t>№</w:t>
            </w:r>
            <w:r w:rsidR="00CC4657">
              <w:rPr>
                <w:sz w:val="24"/>
                <w:szCs w:val="24"/>
              </w:rPr>
              <w:t>106</w:t>
            </w:r>
          </w:p>
        </w:tc>
      </w:tr>
    </w:tbl>
    <w:p w:rsidR="00354439" w:rsidRPr="003927D3" w:rsidRDefault="00354439" w:rsidP="00001CD0">
      <w:pPr>
        <w:spacing w:line="360" w:lineRule="exact"/>
        <w:ind w:firstLine="709"/>
        <w:jc w:val="both"/>
        <w:rPr>
          <w:b/>
        </w:rPr>
      </w:pPr>
      <w:r w:rsidRPr="003927D3">
        <w:rPr>
          <w:b/>
        </w:rPr>
        <w:t>2. Количество (Объем)</w:t>
      </w:r>
      <w:r>
        <w:rPr>
          <w:b/>
        </w:rPr>
        <w:t>:</w:t>
      </w:r>
      <w:r w:rsidRPr="003927D3">
        <w:rPr>
          <w:b/>
        </w:rPr>
        <w:t xml:space="preserve"> </w:t>
      </w:r>
      <w:r>
        <w:t>определяется Техническим заданием (Приложение №1 к настоящему извещению).</w:t>
      </w:r>
    </w:p>
    <w:p w:rsidR="00354439" w:rsidRDefault="00354439" w:rsidP="00001CD0">
      <w:pPr>
        <w:spacing w:line="360" w:lineRule="exact"/>
        <w:ind w:firstLine="709"/>
        <w:jc w:val="both"/>
      </w:pPr>
      <w:r w:rsidRPr="00916183">
        <w:rPr>
          <w:b/>
        </w:rPr>
        <w:t xml:space="preserve">3. </w:t>
      </w:r>
      <w:proofErr w:type="gramStart"/>
      <w:r w:rsidRPr="00916183">
        <w:rPr>
          <w:b/>
        </w:rPr>
        <w:t xml:space="preserve">Цена </w:t>
      </w:r>
      <w:r w:rsidRPr="00D178DE">
        <w:rPr>
          <w:b/>
        </w:rPr>
        <w:t xml:space="preserve">договора: </w:t>
      </w:r>
      <w:r w:rsidR="008C15FD" w:rsidRPr="009C1A62">
        <w:rPr>
          <w:szCs w:val="28"/>
        </w:rPr>
        <w:t>10 1</w:t>
      </w:r>
      <w:r w:rsidR="008C15FD">
        <w:rPr>
          <w:szCs w:val="28"/>
        </w:rPr>
        <w:t>69 </w:t>
      </w:r>
      <w:r w:rsidR="009B797A">
        <w:rPr>
          <w:szCs w:val="28"/>
        </w:rPr>
        <w:t>491</w:t>
      </w:r>
      <w:r w:rsidR="008C15FD">
        <w:rPr>
          <w:szCs w:val="28"/>
        </w:rPr>
        <w:t>,</w:t>
      </w:r>
      <w:r w:rsidR="009B797A">
        <w:rPr>
          <w:szCs w:val="28"/>
        </w:rPr>
        <w:t>52</w:t>
      </w:r>
      <w:r w:rsidR="009B797A" w:rsidRPr="009C1A62">
        <w:rPr>
          <w:szCs w:val="28"/>
        </w:rPr>
        <w:t xml:space="preserve"> </w:t>
      </w:r>
      <w:r w:rsidR="008C15FD">
        <w:rPr>
          <w:szCs w:val="28"/>
        </w:rPr>
        <w:t xml:space="preserve">(десять миллионов сто шестьдесят девять тысяч четыреста девяносто </w:t>
      </w:r>
      <w:r w:rsidR="004F3E57">
        <w:rPr>
          <w:szCs w:val="28"/>
        </w:rPr>
        <w:t>один</w:t>
      </w:r>
      <w:r w:rsidR="008C15FD">
        <w:rPr>
          <w:szCs w:val="28"/>
        </w:rPr>
        <w:t xml:space="preserve">) </w:t>
      </w:r>
      <w:r w:rsidR="00CC4657" w:rsidRPr="009C1A62">
        <w:rPr>
          <w:szCs w:val="28"/>
        </w:rPr>
        <w:t>рубл</w:t>
      </w:r>
      <w:r w:rsidR="00CC4657">
        <w:rPr>
          <w:szCs w:val="28"/>
        </w:rPr>
        <w:t>ь</w:t>
      </w:r>
      <w:r w:rsidR="00CC4657">
        <w:rPr>
          <w:szCs w:val="28"/>
        </w:rPr>
        <w:t xml:space="preserve"> </w:t>
      </w:r>
      <w:r w:rsidR="004F3E57">
        <w:rPr>
          <w:szCs w:val="28"/>
        </w:rPr>
        <w:t xml:space="preserve">52 </w:t>
      </w:r>
      <w:r w:rsidR="00CC4657">
        <w:rPr>
          <w:szCs w:val="28"/>
        </w:rPr>
        <w:t>копе</w:t>
      </w:r>
      <w:r w:rsidR="00CC4657">
        <w:rPr>
          <w:szCs w:val="28"/>
        </w:rPr>
        <w:t>йки</w:t>
      </w:r>
      <w:r w:rsidR="00CC4657" w:rsidRPr="00D178DE">
        <w:t xml:space="preserve"> </w:t>
      </w:r>
      <w:r w:rsidR="00916183" w:rsidRPr="00D178DE">
        <w:rPr>
          <w:szCs w:val="28"/>
        </w:rPr>
        <w:t xml:space="preserve">с учетом всех налогов (кроме НДС), стоимости материалов, затрат, связанных с доставкой на </w:t>
      </w:r>
      <w:r w:rsidR="00916183" w:rsidRPr="00D178DE">
        <w:rPr>
          <w:szCs w:val="28"/>
        </w:rPr>
        <w:lastRenderedPageBreak/>
        <w:t>объект, иных расходов, связанных с оказанием услуг, в том числе, но не исключая, на оплату персонала и коммунальных платежей, на транспорт, связь и почтовые отправления, печать и копирование документов, командировки</w:t>
      </w:r>
      <w:proofErr w:type="gramEnd"/>
      <w:r w:rsidR="00916183" w:rsidRPr="00D178DE">
        <w:rPr>
          <w:szCs w:val="28"/>
        </w:rPr>
        <w:t>.</w:t>
      </w:r>
    </w:p>
    <w:p w:rsidR="00824D39" w:rsidRPr="003927D3" w:rsidRDefault="00824D39" w:rsidP="00001CD0">
      <w:pPr>
        <w:spacing w:line="360" w:lineRule="exact"/>
        <w:ind w:firstLine="709"/>
        <w:jc w:val="both"/>
        <w:rPr>
          <w:b/>
        </w:rPr>
      </w:pPr>
      <w:r>
        <w:t>НДС начисляется в соот</w:t>
      </w:r>
      <w:r w:rsidR="00166131">
        <w:t>в</w:t>
      </w:r>
      <w:r>
        <w:t>етствии с законодательством Российской Федерации.</w:t>
      </w:r>
    </w:p>
    <w:p w:rsidR="00354439" w:rsidRPr="003927D3" w:rsidRDefault="00354439" w:rsidP="00001CD0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 Порядок определения цены за</w:t>
      </w:r>
      <w:r w:rsidRPr="00D62676">
        <w:rPr>
          <w:b/>
          <w:iCs/>
          <w:color w:val="auto"/>
          <w:sz w:val="28"/>
          <w:szCs w:val="28"/>
        </w:rPr>
        <w:t xml:space="preserve"> услуги</w:t>
      </w:r>
      <w:r w:rsidRPr="002678B9">
        <w:rPr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="00514156" w:rsidRPr="00514156">
        <w:rPr>
          <w:color w:val="auto"/>
          <w:sz w:val="28"/>
          <w:szCs w:val="28"/>
          <w:lang w:eastAsia="ru-RU"/>
        </w:rPr>
        <w:t xml:space="preserve">цена договора </w:t>
      </w:r>
      <w:r w:rsidR="00514156">
        <w:rPr>
          <w:color w:val="auto"/>
          <w:sz w:val="28"/>
          <w:szCs w:val="28"/>
          <w:lang w:eastAsia="ru-RU"/>
        </w:rPr>
        <w:t>определена</w:t>
      </w:r>
      <w:r w:rsidR="00514156" w:rsidRPr="00514156">
        <w:rPr>
          <w:color w:val="auto"/>
          <w:sz w:val="28"/>
          <w:szCs w:val="28"/>
          <w:lang w:eastAsia="ru-RU"/>
        </w:rPr>
        <w:t xml:space="preserve"> Испо</w:t>
      </w:r>
      <w:r w:rsidR="00166131">
        <w:rPr>
          <w:color w:val="auto"/>
          <w:sz w:val="28"/>
          <w:szCs w:val="28"/>
          <w:lang w:eastAsia="ru-RU"/>
        </w:rPr>
        <w:t>л</w:t>
      </w:r>
      <w:r w:rsidR="00514156" w:rsidRPr="00514156">
        <w:rPr>
          <w:color w:val="auto"/>
          <w:sz w:val="28"/>
          <w:szCs w:val="28"/>
          <w:lang w:eastAsia="ru-RU"/>
        </w:rPr>
        <w:t>нителем согласно затратно</w:t>
      </w:r>
      <w:r w:rsidR="008A03F0">
        <w:rPr>
          <w:color w:val="auto"/>
          <w:sz w:val="28"/>
          <w:szCs w:val="28"/>
          <w:lang w:eastAsia="ru-RU"/>
        </w:rPr>
        <w:t>му</w:t>
      </w:r>
      <w:r w:rsidR="00514156" w:rsidRPr="00514156">
        <w:rPr>
          <w:color w:val="auto"/>
          <w:sz w:val="28"/>
          <w:szCs w:val="28"/>
          <w:lang w:eastAsia="ru-RU"/>
        </w:rPr>
        <w:t xml:space="preserve"> подход</w:t>
      </w:r>
      <w:r w:rsidR="008A03F0">
        <w:rPr>
          <w:color w:val="auto"/>
          <w:sz w:val="28"/>
          <w:szCs w:val="28"/>
          <w:lang w:eastAsia="ru-RU"/>
        </w:rPr>
        <w:t>у</w:t>
      </w:r>
      <w:r w:rsidR="00514156" w:rsidRPr="00514156">
        <w:rPr>
          <w:color w:val="auto"/>
          <w:sz w:val="28"/>
          <w:szCs w:val="28"/>
          <w:lang w:eastAsia="ru-RU"/>
        </w:rPr>
        <w:t>, который определяет цену договора как сумму производимых затрат и обычной для данной сферы деятельности прибыли</w:t>
      </w:r>
      <w:r w:rsidR="00514156">
        <w:rPr>
          <w:color w:val="auto"/>
          <w:sz w:val="28"/>
          <w:szCs w:val="28"/>
          <w:lang w:eastAsia="ru-RU"/>
        </w:rPr>
        <w:t>.</w:t>
      </w:r>
    </w:p>
    <w:p w:rsidR="00DA34DF" w:rsidRPr="00A82690" w:rsidRDefault="00354439" w:rsidP="00C34E42">
      <w:pPr>
        <w:spacing w:line="360" w:lineRule="exact"/>
        <w:ind w:firstLine="709"/>
        <w:jc w:val="both"/>
        <w:rPr>
          <w:szCs w:val="28"/>
        </w:rPr>
      </w:pPr>
      <w:r w:rsidRPr="003927D3">
        <w:rPr>
          <w:b/>
          <w:iCs/>
          <w:szCs w:val="28"/>
        </w:rPr>
        <w:t xml:space="preserve">5. Форма, сроки и порядок оплаты </w:t>
      </w:r>
      <w:r w:rsidR="00DA34DF">
        <w:rPr>
          <w:szCs w:val="28"/>
        </w:rPr>
        <w:t>о</w:t>
      </w:r>
      <w:r w:rsidR="00DA34DF" w:rsidRPr="00A82690">
        <w:rPr>
          <w:szCs w:val="28"/>
        </w:rPr>
        <w:t xml:space="preserve">плата  </w:t>
      </w:r>
      <w:r w:rsidR="00DA34DF">
        <w:rPr>
          <w:szCs w:val="28"/>
        </w:rPr>
        <w:t>у</w:t>
      </w:r>
      <w:r w:rsidR="00DA34DF" w:rsidRPr="00A82690">
        <w:rPr>
          <w:szCs w:val="28"/>
        </w:rPr>
        <w:t xml:space="preserve">слуг производится Заказчиком в течение 30 (тридцати) календарных дней </w:t>
      </w:r>
      <w:r w:rsidR="00DA34DF">
        <w:rPr>
          <w:szCs w:val="28"/>
        </w:rPr>
        <w:t>с даты</w:t>
      </w:r>
      <w:r w:rsidR="00DA34DF" w:rsidRPr="00A82690">
        <w:rPr>
          <w:szCs w:val="28"/>
        </w:rPr>
        <w:t xml:space="preserve"> подписания Сторонами акта сдачи–приемки оказанных </w:t>
      </w:r>
      <w:r w:rsidR="00DA34DF">
        <w:rPr>
          <w:szCs w:val="28"/>
        </w:rPr>
        <w:t>у</w:t>
      </w:r>
      <w:r w:rsidR="00DA34DF" w:rsidRPr="00A82690">
        <w:rPr>
          <w:szCs w:val="28"/>
        </w:rPr>
        <w:t>слуг на основании счета, счета-фактуры Исполнителя.</w:t>
      </w:r>
    </w:p>
    <w:p w:rsidR="00354439" w:rsidRPr="003927D3" w:rsidRDefault="00354439" w:rsidP="00001C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6. Срок </w:t>
      </w:r>
      <w:r w:rsidRPr="00354439">
        <w:rPr>
          <w:b/>
          <w:iCs/>
          <w:color w:val="auto"/>
          <w:sz w:val="28"/>
          <w:szCs w:val="28"/>
        </w:rPr>
        <w:t>оказания услуг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9C1A62">
        <w:rPr>
          <w:sz w:val="28"/>
          <w:szCs w:val="28"/>
        </w:rPr>
        <w:t xml:space="preserve">4 (четыре) календарных месяца с </w:t>
      </w:r>
      <w:r>
        <w:rPr>
          <w:sz w:val="28"/>
          <w:szCs w:val="28"/>
        </w:rPr>
        <w:t>даты</w:t>
      </w:r>
      <w:r w:rsidRPr="009C1A62">
        <w:rPr>
          <w:sz w:val="28"/>
          <w:szCs w:val="28"/>
        </w:rPr>
        <w:t xml:space="preserve"> подписания договора об оказании услуг</w:t>
      </w:r>
      <w:r>
        <w:rPr>
          <w:sz w:val="28"/>
          <w:szCs w:val="28"/>
        </w:rPr>
        <w:t>.</w:t>
      </w:r>
    </w:p>
    <w:p w:rsidR="00354439" w:rsidRPr="003927D3" w:rsidRDefault="00354439" w:rsidP="00001CD0">
      <w:pPr>
        <w:pStyle w:val="Default"/>
        <w:spacing w:line="360" w:lineRule="exact"/>
        <w:ind w:firstLine="709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</w:t>
      </w:r>
      <w:r w:rsidR="0002789B">
        <w:rPr>
          <w:b/>
          <w:iCs/>
          <w:color w:val="auto"/>
          <w:sz w:val="28"/>
          <w:szCs w:val="28"/>
        </w:rPr>
        <w:t xml:space="preserve"> </w:t>
      </w:r>
      <w:r w:rsidR="002678B9">
        <w:rPr>
          <w:b/>
          <w:iCs/>
          <w:color w:val="auto"/>
          <w:sz w:val="28"/>
          <w:szCs w:val="28"/>
        </w:rPr>
        <w:t xml:space="preserve"> </w:t>
      </w:r>
      <w:r w:rsidRPr="003927D3">
        <w:rPr>
          <w:b/>
          <w:iCs/>
          <w:color w:val="auto"/>
          <w:sz w:val="28"/>
          <w:szCs w:val="28"/>
        </w:rPr>
        <w:t xml:space="preserve">Место </w:t>
      </w:r>
      <w:r w:rsidRPr="00354439">
        <w:rPr>
          <w:b/>
          <w:iCs/>
          <w:color w:val="auto"/>
          <w:sz w:val="28"/>
          <w:szCs w:val="28"/>
        </w:rPr>
        <w:t>оказания услуг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DA34DF">
        <w:rPr>
          <w:color w:val="auto"/>
          <w:sz w:val="28"/>
          <w:szCs w:val="28"/>
        </w:rPr>
        <w:t>125047, Москва, Оружейный переулок, д. 19.</w:t>
      </w:r>
      <w:r w:rsidRPr="003927D3">
        <w:rPr>
          <w:i/>
          <w:color w:val="auto"/>
          <w:sz w:val="28"/>
          <w:szCs w:val="28"/>
        </w:rPr>
        <w:t xml:space="preserve"> </w:t>
      </w:r>
    </w:p>
    <w:p w:rsidR="00354439" w:rsidRPr="003927D3" w:rsidRDefault="00354439" w:rsidP="00001CD0">
      <w:pPr>
        <w:pStyle w:val="Default"/>
        <w:spacing w:line="360" w:lineRule="exact"/>
        <w:ind w:firstLine="709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DA34DF">
        <w:rPr>
          <w:sz w:val="28"/>
          <w:szCs w:val="28"/>
        </w:rPr>
        <w:t xml:space="preserve">АНО </w:t>
      </w:r>
      <w:r w:rsidR="00DA34DF" w:rsidRPr="009C1A62">
        <w:rPr>
          <w:sz w:val="28"/>
          <w:szCs w:val="28"/>
        </w:rPr>
        <w:t>«Аналитический центр при Правительстве Российской Федерации»</w:t>
      </w:r>
      <w:r w:rsidRPr="003927D3">
        <w:rPr>
          <w:color w:val="auto"/>
          <w:sz w:val="28"/>
          <w:szCs w:val="28"/>
        </w:rPr>
        <w:t>.</w:t>
      </w:r>
    </w:p>
    <w:p w:rsidR="00354439" w:rsidRPr="00A2685E" w:rsidRDefault="00354439" w:rsidP="00001CD0">
      <w:pPr>
        <w:spacing w:line="360" w:lineRule="exact"/>
        <w:ind w:firstLine="709"/>
        <w:jc w:val="both"/>
        <w:rPr>
          <w:color w:val="000000"/>
          <w:szCs w:val="28"/>
          <w:lang w:eastAsia="en-US"/>
        </w:rPr>
      </w:pPr>
      <w:r w:rsidRPr="00C3313D">
        <w:rPr>
          <w:b/>
        </w:rPr>
        <w:t>Поставщик является субъектом МСП:</w:t>
      </w:r>
      <w:r w:rsidR="002678B9">
        <w:t xml:space="preserve"> </w:t>
      </w:r>
      <w:r w:rsidRPr="00A2685E">
        <w:rPr>
          <w:color w:val="000000"/>
          <w:szCs w:val="28"/>
          <w:lang w:eastAsia="en-US"/>
        </w:rPr>
        <w:t xml:space="preserve">нет </w:t>
      </w:r>
    </w:p>
    <w:p w:rsidR="00354439" w:rsidRPr="00B06C02" w:rsidRDefault="00354439" w:rsidP="00001CD0">
      <w:pPr>
        <w:spacing w:line="360" w:lineRule="exact"/>
        <w:ind w:firstLine="709"/>
        <w:jc w:val="both"/>
      </w:pPr>
      <w:r w:rsidRPr="00B06C02">
        <w:t xml:space="preserve">ОГРН: </w:t>
      </w:r>
      <w:r w:rsidR="00B06C02" w:rsidRPr="00B06C02">
        <w:t>1157700000655</w:t>
      </w:r>
      <w:r w:rsidRPr="00B06C02">
        <w:t>;</w:t>
      </w:r>
    </w:p>
    <w:p w:rsidR="00354439" w:rsidRPr="00B06C02" w:rsidRDefault="00354439" w:rsidP="00001CD0">
      <w:pPr>
        <w:spacing w:line="360" w:lineRule="exact"/>
        <w:ind w:firstLine="709"/>
        <w:jc w:val="both"/>
      </w:pPr>
      <w:r w:rsidRPr="00B06C02">
        <w:t xml:space="preserve">ИНН: </w:t>
      </w:r>
      <w:r w:rsidR="00B06C02" w:rsidRPr="00B06C02">
        <w:t>7708244720</w:t>
      </w:r>
      <w:r w:rsidRPr="00B06C02">
        <w:t>;</w:t>
      </w:r>
    </w:p>
    <w:p w:rsidR="00354439" w:rsidRPr="00B06C02" w:rsidRDefault="00354439" w:rsidP="00001CD0">
      <w:pPr>
        <w:spacing w:line="360" w:lineRule="exact"/>
        <w:ind w:firstLine="709"/>
        <w:jc w:val="both"/>
      </w:pPr>
      <w:r w:rsidRPr="00B06C02">
        <w:t xml:space="preserve">КПП: </w:t>
      </w:r>
      <w:r w:rsidR="00B06C02" w:rsidRPr="00B06C02">
        <w:t>770801001</w:t>
      </w:r>
      <w:r w:rsidRPr="00B06C02">
        <w:t>;</w:t>
      </w:r>
    </w:p>
    <w:p w:rsidR="00354439" w:rsidRPr="00B06C02" w:rsidRDefault="00354439" w:rsidP="00001CD0">
      <w:pPr>
        <w:spacing w:line="360" w:lineRule="exact"/>
        <w:ind w:firstLine="709"/>
        <w:jc w:val="both"/>
      </w:pPr>
      <w:r w:rsidRPr="00B06C02">
        <w:t xml:space="preserve">Место нахождения: </w:t>
      </w:r>
      <w:r w:rsidR="00B06C02" w:rsidRPr="00B06C02">
        <w:t xml:space="preserve">107078, г. Москва, проспект Академика Сахарова, </w:t>
      </w:r>
      <w:r w:rsidR="00C34E42">
        <w:br/>
      </w:r>
      <w:r w:rsidR="00B06C02" w:rsidRPr="00B06C02">
        <w:t>д. 12</w:t>
      </w:r>
      <w:r w:rsidRPr="00B06C02">
        <w:t>;</w:t>
      </w:r>
    </w:p>
    <w:p w:rsidR="00354439" w:rsidRPr="003927D3" w:rsidRDefault="00354439" w:rsidP="00001CD0">
      <w:pPr>
        <w:spacing w:line="360" w:lineRule="exact"/>
        <w:ind w:firstLine="709"/>
        <w:jc w:val="both"/>
      </w:pPr>
      <w:r w:rsidRPr="00B06C02">
        <w:t xml:space="preserve">Почтовый адрес: </w:t>
      </w:r>
      <w:r w:rsidR="00B06C02" w:rsidRPr="00B06C02">
        <w:t>107078, г. Москва</w:t>
      </w:r>
      <w:r w:rsidR="00B06C02" w:rsidRPr="00B607C0">
        <w:t>, проспект Академика Сахарова, д. 12</w:t>
      </w:r>
      <w:r w:rsidRPr="003927D3">
        <w:t>;</w:t>
      </w:r>
    </w:p>
    <w:p w:rsidR="00354439" w:rsidRPr="00B06C02" w:rsidRDefault="00354439" w:rsidP="00001CD0">
      <w:pPr>
        <w:pStyle w:val="10"/>
        <w:spacing w:line="360" w:lineRule="exact"/>
        <w:ind w:firstLine="709"/>
      </w:pPr>
      <w:r w:rsidRPr="003927D3">
        <w:t xml:space="preserve">Представитель Поставщика, ответственный со стороны поставщика – </w:t>
      </w:r>
      <w:proofErr w:type="spellStart"/>
      <w:r w:rsidR="00B06C02">
        <w:t>Ганеева</w:t>
      </w:r>
      <w:proofErr w:type="spellEnd"/>
      <w:r w:rsidR="00B06C02">
        <w:t xml:space="preserve"> Светлана Валерьевна</w:t>
      </w:r>
      <w:r w:rsidRPr="003927D3">
        <w:t>, тел</w:t>
      </w:r>
      <w:proofErr w:type="gramStart"/>
      <w:r w:rsidRPr="003927D3">
        <w:t>.(</w:t>
      </w:r>
      <w:proofErr w:type="gramEnd"/>
      <w:r w:rsidRPr="003927D3">
        <w:t>факс)</w:t>
      </w:r>
      <w:r w:rsidR="00B06C02">
        <w:t xml:space="preserve"> </w:t>
      </w:r>
      <w:r w:rsidR="00B06C02" w:rsidRPr="00B06C02">
        <w:t>+7</w:t>
      </w:r>
      <w:r w:rsidR="00B06C02" w:rsidRPr="00B607C0">
        <w:t xml:space="preserve"> (495) 632-97-92</w:t>
      </w:r>
      <w:r w:rsidRPr="003927D3">
        <w:t xml:space="preserve">, адрес электронной почты </w:t>
      </w:r>
      <w:proofErr w:type="spellStart"/>
      <w:r w:rsidR="00B06C02">
        <w:rPr>
          <w:lang w:val="en-US"/>
        </w:rPr>
        <w:t>ganeeva</w:t>
      </w:r>
      <w:proofErr w:type="spellEnd"/>
      <w:r w:rsidR="00B06C02" w:rsidRPr="00B06C02">
        <w:t>@</w:t>
      </w:r>
      <w:r w:rsidR="00B06C02">
        <w:rPr>
          <w:lang w:val="en-US"/>
        </w:rPr>
        <w:t>ac</w:t>
      </w:r>
      <w:r w:rsidR="00B06C02" w:rsidRPr="00B06C02">
        <w:t>.</w:t>
      </w:r>
      <w:proofErr w:type="spellStart"/>
      <w:r w:rsidR="00B06C02">
        <w:rPr>
          <w:lang w:val="en-US"/>
        </w:rPr>
        <w:t>gov</w:t>
      </w:r>
      <w:proofErr w:type="spellEnd"/>
      <w:r w:rsidR="00B06C02" w:rsidRPr="00B06C02">
        <w:t>.</w:t>
      </w:r>
      <w:proofErr w:type="spellStart"/>
      <w:r w:rsidR="00B06C02">
        <w:rPr>
          <w:lang w:val="en-US"/>
        </w:rPr>
        <w:t>ru</w:t>
      </w:r>
      <w:proofErr w:type="spellEnd"/>
      <w:r w:rsidR="00FF2619" w:rsidRPr="00FF2619">
        <w:t>.</w:t>
      </w:r>
    </w:p>
    <w:p w:rsidR="00354439" w:rsidRPr="003927D3" w:rsidRDefault="00354439" w:rsidP="00001CD0">
      <w:pPr>
        <w:tabs>
          <w:tab w:val="left" w:pos="709"/>
        </w:tabs>
        <w:spacing w:line="360" w:lineRule="exact"/>
        <w:ind w:firstLine="709"/>
        <w:jc w:val="both"/>
        <w:rPr>
          <w:i/>
        </w:rPr>
      </w:pPr>
      <w:r w:rsidRPr="003927D3">
        <w:rPr>
          <w:b/>
        </w:rPr>
        <w:t xml:space="preserve">9. Требования к </w:t>
      </w:r>
      <w:r w:rsidR="00B11FAB" w:rsidRPr="00B11FAB">
        <w:rPr>
          <w:b/>
        </w:rPr>
        <w:t>услугам:</w:t>
      </w:r>
      <w:r w:rsidRPr="003927D3">
        <w:t xml:space="preserve"> </w:t>
      </w:r>
      <w:r w:rsidR="00B11FAB">
        <w:t>оказание услуг должно осуществляться в соответствии с законодательством Российской Федерации</w:t>
      </w:r>
      <w:r w:rsidR="00B86C6D">
        <w:t>.</w:t>
      </w:r>
    </w:p>
    <w:p w:rsidR="00354439" w:rsidRDefault="00354439" w:rsidP="00001CD0">
      <w:pPr>
        <w:spacing w:line="360" w:lineRule="exact"/>
        <w:ind w:firstLine="709"/>
        <w:jc w:val="both"/>
      </w:pPr>
    </w:p>
    <w:p w:rsidR="00354439" w:rsidRDefault="00354439" w:rsidP="00001CD0">
      <w:pPr>
        <w:spacing w:line="360" w:lineRule="exact"/>
        <w:ind w:firstLine="709"/>
        <w:jc w:val="both"/>
      </w:pPr>
    </w:p>
    <w:p w:rsidR="00354439" w:rsidRPr="00C43903" w:rsidRDefault="00354439" w:rsidP="00354439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E41C82" w:rsidRDefault="00E41C82" w:rsidP="00E41C82">
      <w:pPr>
        <w:jc w:val="both"/>
      </w:pPr>
    </w:p>
    <w:p w:rsidR="00557EF5" w:rsidRPr="00A40567" w:rsidRDefault="00A502B1" w:rsidP="00557EF5">
      <w:pPr>
        <w:ind w:left="4536"/>
        <w:rPr>
          <w:szCs w:val="28"/>
        </w:rPr>
      </w:pPr>
      <w:r>
        <w:rPr>
          <w:sz w:val="20"/>
        </w:rPr>
        <w:br w:type="page"/>
      </w:r>
      <w:r w:rsidR="00100AC2" w:rsidRPr="00A40567">
        <w:rPr>
          <w:szCs w:val="28"/>
        </w:rPr>
        <w:t>Приложение №1</w:t>
      </w:r>
      <w:r w:rsidR="00557EF5" w:rsidRPr="00A40567">
        <w:rPr>
          <w:szCs w:val="28"/>
        </w:rPr>
        <w:t xml:space="preserve"> </w:t>
      </w:r>
    </w:p>
    <w:p w:rsidR="00557EF5" w:rsidRPr="00A40567" w:rsidRDefault="00557EF5" w:rsidP="00557EF5">
      <w:pPr>
        <w:ind w:left="4536"/>
        <w:rPr>
          <w:szCs w:val="28"/>
        </w:rPr>
      </w:pPr>
      <w:r w:rsidRPr="00A40567">
        <w:rPr>
          <w:szCs w:val="28"/>
        </w:rPr>
        <w:t xml:space="preserve">к Извещению о размещении заказа </w:t>
      </w:r>
    </w:p>
    <w:p w:rsidR="00557EF5" w:rsidRPr="00A40567" w:rsidRDefault="00557EF5" w:rsidP="00557EF5">
      <w:pPr>
        <w:ind w:left="4536"/>
        <w:rPr>
          <w:szCs w:val="28"/>
        </w:rPr>
      </w:pPr>
      <w:r w:rsidRPr="00A40567">
        <w:rPr>
          <w:szCs w:val="28"/>
        </w:rPr>
        <w:t>№ ЕП</w:t>
      </w:r>
      <w:r w:rsidR="00CC4657" w:rsidRPr="00A40567">
        <w:rPr>
          <w:szCs w:val="28"/>
        </w:rPr>
        <w:t>-</w:t>
      </w:r>
      <w:r w:rsidR="00CC4657">
        <w:rPr>
          <w:szCs w:val="28"/>
        </w:rPr>
        <w:t>ЦКПСР</w:t>
      </w:r>
      <w:r w:rsidR="00CC4657" w:rsidRPr="00A40567">
        <w:rPr>
          <w:szCs w:val="28"/>
        </w:rPr>
        <w:t>-</w:t>
      </w:r>
      <w:r w:rsidR="00CC4657">
        <w:rPr>
          <w:szCs w:val="28"/>
        </w:rPr>
        <w:t>17</w:t>
      </w:r>
      <w:r w:rsidR="00CC4657" w:rsidRPr="00A40567">
        <w:rPr>
          <w:szCs w:val="28"/>
        </w:rPr>
        <w:t>-</w:t>
      </w:r>
      <w:r w:rsidR="00CC4657">
        <w:rPr>
          <w:szCs w:val="28"/>
        </w:rPr>
        <w:t>0011</w:t>
      </w:r>
    </w:p>
    <w:p w:rsidR="00557EF5" w:rsidRPr="00A40567" w:rsidRDefault="00557EF5" w:rsidP="00557EF5">
      <w:pPr>
        <w:ind w:left="4536"/>
        <w:rPr>
          <w:szCs w:val="28"/>
        </w:rPr>
      </w:pPr>
      <w:r w:rsidRPr="00A40567">
        <w:rPr>
          <w:szCs w:val="28"/>
        </w:rPr>
        <w:t xml:space="preserve">на закупку товаров, </w:t>
      </w:r>
      <w:r w:rsidR="00166131" w:rsidRPr="00A40567">
        <w:rPr>
          <w:szCs w:val="28"/>
        </w:rPr>
        <w:t>в</w:t>
      </w:r>
      <w:r w:rsidRPr="00A40567">
        <w:rPr>
          <w:szCs w:val="28"/>
        </w:rPr>
        <w:t xml:space="preserve">ыполнение работ и оказание услуг </w:t>
      </w:r>
    </w:p>
    <w:p w:rsidR="00557EF5" w:rsidRPr="00A40567" w:rsidRDefault="00557EF5" w:rsidP="00557EF5">
      <w:pPr>
        <w:ind w:left="4536"/>
        <w:rPr>
          <w:szCs w:val="28"/>
        </w:rPr>
      </w:pPr>
      <w:r w:rsidRPr="00A40567">
        <w:rPr>
          <w:szCs w:val="28"/>
        </w:rPr>
        <w:t xml:space="preserve">у единственного поставщика (исполнителя, подрядчика)  </w:t>
      </w:r>
    </w:p>
    <w:p w:rsidR="00E41C82" w:rsidRDefault="00E41C82" w:rsidP="00001CD0">
      <w:pPr>
        <w:jc w:val="right"/>
        <w:rPr>
          <w:sz w:val="20"/>
        </w:rPr>
      </w:pPr>
    </w:p>
    <w:p w:rsidR="00100AC2" w:rsidRDefault="00100AC2" w:rsidP="00100AC2">
      <w:pPr>
        <w:jc w:val="right"/>
        <w:rPr>
          <w:sz w:val="20"/>
        </w:rPr>
      </w:pPr>
    </w:p>
    <w:p w:rsidR="00100AC2" w:rsidRPr="00A40567" w:rsidRDefault="00100AC2" w:rsidP="00100AC2">
      <w:pPr>
        <w:keepNext/>
        <w:jc w:val="center"/>
        <w:outlineLvl w:val="0"/>
        <w:rPr>
          <w:b/>
          <w:kern w:val="28"/>
          <w:szCs w:val="28"/>
        </w:rPr>
      </w:pPr>
      <w:r w:rsidRPr="00A40567">
        <w:rPr>
          <w:b/>
          <w:kern w:val="28"/>
          <w:szCs w:val="28"/>
        </w:rPr>
        <w:t xml:space="preserve">Техническое задание </w:t>
      </w:r>
    </w:p>
    <w:p w:rsidR="00100AC2" w:rsidRPr="00A40567" w:rsidRDefault="00100AC2" w:rsidP="00100AC2">
      <w:pPr>
        <w:jc w:val="center"/>
        <w:rPr>
          <w:b/>
          <w:szCs w:val="28"/>
        </w:rPr>
      </w:pPr>
      <w:r w:rsidRPr="00A40567">
        <w:rPr>
          <w:b/>
          <w:szCs w:val="28"/>
        </w:rPr>
        <w:t>на оказание услуг по разработке концепции развития контейнерных перевозок в Российской Федерации</w:t>
      </w:r>
    </w:p>
    <w:p w:rsidR="00100AC2" w:rsidRPr="00A40567" w:rsidRDefault="00100AC2" w:rsidP="00100AC2">
      <w:pPr>
        <w:rPr>
          <w:b/>
          <w:szCs w:val="28"/>
        </w:rPr>
      </w:pPr>
    </w:p>
    <w:p w:rsidR="00100AC2" w:rsidRPr="00A40567" w:rsidRDefault="00100AC2" w:rsidP="00100AC2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b/>
          <w:szCs w:val="28"/>
        </w:rPr>
      </w:pPr>
      <w:r w:rsidRPr="00A40567">
        <w:rPr>
          <w:b/>
          <w:szCs w:val="28"/>
        </w:rPr>
        <w:t>Цель оказания услуг</w:t>
      </w:r>
    </w:p>
    <w:p w:rsidR="00100AC2" w:rsidRPr="00A40567" w:rsidRDefault="00100AC2" w:rsidP="00001CD0">
      <w:pPr>
        <w:spacing w:line="276" w:lineRule="auto"/>
        <w:ind w:firstLine="709"/>
        <w:jc w:val="both"/>
        <w:rPr>
          <w:szCs w:val="28"/>
        </w:rPr>
      </w:pPr>
      <w:proofErr w:type="gramStart"/>
      <w:r w:rsidRPr="00A40567">
        <w:rPr>
          <w:szCs w:val="28"/>
        </w:rPr>
        <w:t xml:space="preserve">Целью оказания услуг является подготовка Аналитическим центром при Правительстве Российской Федерации независимого отчета по результатам анализа вопросов повышения эффективности и международной конкурентоспособности российской экономики за счет развития контейнерных перевозок во внутреннем, экспортно-импортном и транзитном сообщениях, а также целесообразности создания транспортно-логистического и инфраструктурного каркаса для активизации развития в России обрабатывающих производств и </w:t>
      </w:r>
      <w:proofErr w:type="spellStart"/>
      <w:r w:rsidRPr="00A40567">
        <w:rPr>
          <w:szCs w:val="28"/>
        </w:rPr>
        <w:t>несырьевого</w:t>
      </w:r>
      <w:proofErr w:type="spellEnd"/>
      <w:r w:rsidRPr="00A40567">
        <w:rPr>
          <w:szCs w:val="28"/>
        </w:rPr>
        <w:t xml:space="preserve"> экспорта глубокой переработки. </w:t>
      </w:r>
      <w:proofErr w:type="gramEnd"/>
    </w:p>
    <w:p w:rsidR="00100AC2" w:rsidRPr="00A40567" w:rsidRDefault="00100AC2" w:rsidP="00100AC2">
      <w:pPr>
        <w:pStyle w:val="ENGL1"/>
        <w:numPr>
          <w:ilvl w:val="0"/>
          <w:numId w:val="0"/>
        </w:numPr>
        <w:spacing w:before="0" w:after="0" w:line="300" w:lineRule="exact"/>
        <w:ind w:left="567"/>
        <w:jc w:val="both"/>
        <w:rPr>
          <w:caps w:val="0"/>
          <w:sz w:val="28"/>
          <w:szCs w:val="28"/>
        </w:rPr>
      </w:pPr>
    </w:p>
    <w:p w:rsidR="00100AC2" w:rsidRPr="00A40567" w:rsidRDefault="00100AC2" w:rsidP="00100AC2">
      <w:pPr>
        <w:pStyle w:val="ENGL1"/>
        <w:numPr>
          <w:ilvl w:val="0"/>
          <w:numId w:val="6"/>
        </w:numPr>
        <w:spacing w:before="0" w:after="0" w:line="300" w:lineRule="exact"/>
        <w:ind w:left="0" w:firstLine="567"/>
        <w:jc w:val="both"/>
        <w:rPr>
          <w:caps w:val="0"/>
          <w:sz w:val="28"/>
          <w:szCs w:val="28"/>
        </w:rPr>
      </w:pPr>
      <w:r w:rsidRPr="00A40567">
        <w:rPr>
          <w:caps w:val="0"/>
          <w:sz w:val="28"/>
          <w:szCs w:val="28"/>
        </w:rPr>
        <w:t xml:space="preserve">Содержание оказываемых услуг </w:t>
      </w:r>
    </w:p>
    <w:p w:rsidR="00100AC2" w:rsidRPr="00A40567" w:rsidRDefault="00100AC2" w:rsidP="00001CD0">
      <w:pPr>
        <w:pStyle w:val="ENGL2"/>
        <w:numPr>
          <w:ilvl w:val="0"/>
          <w:numId w:val="0"/>
        </w:numPr>
        <w:tabs>
          <w:tab w:val="left" w:pos="708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A4056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40567">
        <w:rPr>
          <w:rFonts w:ascii="Times New Roman" w:hAnsi="Times New Roman"/>
          <w:sz w:val="28"/>
          <w:szCs w:val="28"/>
        </w:rPr>
        <w:t>рамках</w:t>
      </w:r>
      <w:proofErr w:type="gramEnd"/>
      <w:r w:rsidRPr="00A40567">
        <w:rPr>
          <w:rFonts w:ascii="Times New Roman" w:hAnsi="Times New Roman"/>
          <w:sz w:val="28"/>
          <w:szCs w:val="28"/>
        </w:rPr>
        <w:t xml:space="preserve"> выполнения данного Технического задания Исполнителю необходимо предоставить: </w:t>
      </w:r>
    </w:p>
    <w:p w:rsidR="00100AC2" w:rsidRPr="00A40567" w:rsidRDefault="00100AC2" w:rsidP="00001CD0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Анализ факторов привлекательности контейнерных перевозок для грузоотправителей по сравнению с альтернативными способами перевозки </w:t>
      </w:r>
      <w:proofErr w:type="spellStart"/>
      <w:r w:rsidRPr="00A40567">
        <w:rPr>
          <w:szCs w:val="28"/>
        </w:rPr>
        <w:t>контейнеропригодных</w:t>
      </w:r>
      <w:proofErr w:type="spellEnd"/>
      <w:r w:rsidRPr="00A40567">
        <w:rPr>
          <w:szCs w:val="28"/>
        </w:rPr>
        <w:t xml:space="preserve"> грузов и уровня конкурентных «</w:t>
      </w:r>
      <w:proofErr w:type="spellStart"/>
      <w:r w:rsidRPr="00A40567">
        <w:rPr>
          <w:szCs w:val="28"/>
        </w:rPr>
        <w:t>бенчмарков</w:t>
      </w:r>
      <w:proofErr w:type="spellEnd"/>
      <w:r w:rsidRPr="00A40567">
        <w:rPr>
          <w:szCs w:val="28"/>
        </w:rPr>
        <w:t>» по ним.</w:t>
      </w:r>
    </w:p>
    <w:p w:rsidR="00100AC2" w:rsidRPr="00A40567" w:rsidRDefault="00100AC2" w:rsidP="00100AC2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Оценку потенциала роста контейнерных перевозок с разбивкой на внутренние, экспортные, импортные и транзитные перевозки на период до 2030 года.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Анализ исторической динамики и основных драйверов роста контейнерных перевозок.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Дополнительные источники роста грузовой базы, в том числе потенциал переключения на железную дорогу с альтернативных видов транспорта.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Возможные меры государственной поддержки (в том числе налоговые, таможенные, поддержка производителей) и оценка их влияния.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  <w:lang w:val="en-US"/>
        </w:rPr>
        <w:t>SLEPT</w:t>
      </w:r>
      <w:r w:rsidRPr="00A40567">
        <w:rPr>
          <w:szCs w:val="28"/>
        </w:rPr>
        <w:t>-анализ развития контейнерных перевозок.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  <w:lang w:val="en-US"/>
        </w:rPr>
        <w:t>SWOT</w:t>
      </w:r>
      <w:r w:rsidRPr="00A40567">
        <w:rPr>
          <w:szCs w:val="28"/>
        </w:rPr>
        <w:t>-анализ развития контейнерных перевозок.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Определение потенциальных «точек роста» и связанных с ними дополнительных объемов перевозок, в том числе с учетом реализуемых в настоящее время государственных программ Российской Федерации.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Прогноз роста контейнерных перевозок по сети российских железных дорог с учетом результатов работы по </w:t>
      </w:r>
      <w:proofErr w:type="spellStart"/>
      <w:r w:rsidRPr="00A40567">
        <w:rPr>
          <w:szCs w:val="28"/>
        </w:rPr>
        <w:t>пп</w:t>
      </w:r>
      <w:proofErr w:type="spellEnd"/>
      <w:r w:rsidRPr="00A40567">
        <w:rPr>
          <w:szCs w:val="28"/>
        </w:rPr>
        <w:t>. 2.2.2 – 2.2.4 (с оценкой динамики по видам сообщений: экспорт, импорт, транзит, внутрироссийские).</w:t>
      </w:r>
    </w:p>
    <w:p w:rsidR="00100AC2" w:rsidRPr="00A40567" w:rsidRDefault="00100AC2" w:rsidP="00100AC2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Оценка потенциала оптимизации и развития инфраструктуры железнодорожных контейнерных перевозок.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Оценка международного опыта и возможностей его использования в России (включая действующие программы по переключению грузопотока с автомобильного на железнодорожный транспорт).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 Оценка целесообразности формирования каркаса специализированных логистических центров в ключевых регионах зарождения грузопотоков и связанных с этим инвестиций.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Предложения по направлениям совершенствования технологии железнодорожных контейнерных перевозок с точки зрения повышения качества клиентского сервиса (в том числе технологии контейнерных поездов).</w:t>
      </w:r>
    </w:p>
    <w:p w:rsidR="00100AC2" w:rsidRPr="00A40567" w:rsidRDefault="00100AC2" w:rsidP="00100AC2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Предложения по возможным направлениям технического перевооружения </w:t>
      </w:r>
      <w:r w:rsidRPr="00A40567">
        <w:rPr>
          <w:szCs w:val="28"/>
          <w:lang w:val="en-US"/>
        </w:rPr>
        <w:t>c</w:t>
      </w:r>
      <w:r w:rsidRPr="00A40567">
        <w:rPr>
          <w:szCs w:val="28"/>
        </w:rPr>
        <w:t xml:space="preserve"> целью повышения эффективности использования инфраструктурных и перевозочных активов.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Потенциал и возможности применения технологий перевозки грузов в </w:t>
      </w:r>
      <w:proofErr w:type="spellStart"/>
      <w:r w:rsidRPr="00A40567">
        <w:rPr>
          <w:szCs w:val="28"/>
        </w:rPr>
        <w:t>спецконтейнерах</w:t>
      </w:r>
      <w:proofErr w:type="spellEnd"/>
      <w:r w:rsidRPr="00A40567">
        <w:rPr>
          <w:szCs w:val="28"/>
        </w:rPr>
        <w:t>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Предложения по направлениям инновационного развития специализированного подвижного состава для железнодорожных контейнерных перевозок, в том числе тягового.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Предложения по перспективным технологическим решениям в сфере обработки контейнерных поездов на станциях и модернизации терминальных активов, в том числе на подъездных путях предприятий.</w:t>
      </w:r>
    </w:p>
    <w:p w:rsidR="00100AC2" w:rsidRPr="00A40567" w:rsidRDefault="00100AC2" w:rsidP="00100AC2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Предложения по тарифному регулированию. 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Анализ доходности железнодорожных контейнерных перевозок для основных участников транспортно-логистической цепочки.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Тарифные решения, направленные на стимулирование инноваций и совершенствование технологии железнодорожных контейнерных перевозок. 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Предложения по основным направлениям совершенствования тарифной политики.</w:t>
      </w:r>
    </w:p>
    <w:p w:rsidR="00100AC2" w:rsidRPr="00A40567" w:rsidRDefault="00100AC2" w:rsidP="00100AC2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Предложения по совершенствованию государственного регулирования.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Изменение отраслевой нормативно-технологической документации, регулирующей деятельность железнодорожного транспорта (документация, не находящаяся в открытом доступе, предоставляется Заказчиком).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Гармонизация норм и технологий мультимодальных и </w:t>
      </w:r>
      <w:proofErr w:type="spellStart"/>
      <w:r w:rsidRPr="00A40567">
        <w:rPr>
          <w:szCs w:val="28"/>
        </w:rPr>
        <w:t>интермодальных</w:t>
      </w:r>
      <w:proofErr w:type="spellEnd"/>
      <w:r w:rsidRPr="00A40567">
        <w:rPr>
          <w:szCs w:val="28"/>
        </w:rPr>
        <w:t xml:space="preserve"> контейнерных перевозок (документация, не находящаяся в открытом доступе, предоставляется Заказчиком).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Меры по внедрению безбумажных и </w:t>
      </w:r>
      <w:proofErr w:type="gramStart"/>
      <w:r w:rsidRPr="00A40567">
        <w:rPr>
          <w:szCs w:val="28"/>
        </w:rPr>
        <w:t>интернет-технологий</w:t>
      </w:r>
      <w:proofErr w:type="gramEnd"/>
      <w:r w:rsidRPr="00A40567">
        <w:rPr>
          <w:szCs w:val="28"/>
        </w:rPr>
        <w:t>, упрощению документооборота перевозочной и экспедиторской деятельности, внедрению международных документов.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Возможность формирования единого перевозочного документа, действующего на все типы транспорта и принимаемого всеми участниками перевозочного процесса (на основе морского коносамента).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Предложения по совершенствованию таможенного и налогового законодательства в области контейнерных перевозок.</w:t>
      </w:r>
    </w:p>
    <w:p w:rsidR="00100AC2" w:rsidRPr="00A40567" w:rsidRDefault="00100AC2" w:rsidP="00100AC2">
      <w:pPr>
        <w:pStyle w:val="ac"/>
        <w:numPr>
          <w:ilvl w:val="1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Оценка влияния развития контейнеризации. 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Методология определения уровня контейнеризации.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Оценка макроэкономических эффектов (на </w:t>
      </w:r>
      <w:proofErr w:type="spellStart"/>
      <w:r w:rsidRPr="00A40567">
        <w:rPr>
          <w:szCs w:val="28"/>
        </w:rPr>
        <w:t>страновом</w:t>
      </w:r>
      <w:proofErr w:type="spellEnd"/>
      <w:r w:rsidRPr="00A40567">
        <w:rPr>
          <w:szCs w:val="28"/>
        </w:rPr>
        <w:t xml:space="preserve"> и региональном уровнях), в том числе мультипликативных эффектов и влияния на рейтинг </w:t>
      </w:r>
      <w:proofErr w:type="spellStart"/>
      <w:r w:rsidRPr="00A40567">
        <w:rPr>
          <w:szCs w:val="28"/>
        </w:rPr>
        <w:t>Doing</w:t>
      </w:r>
      <w:proofErr w:type="spellEnd"/>
      <w:r w:rsidRPr="00A40567">
        <w:rPr>
          <w:szCs w:val="28"/>
        </w:rPr>
        <w:t xml:space="preserve"> </w:t>
      </w:r>
      <w:proofErr w:type="spellStart"/>
      <w:r w:rsidRPr="00A40567">
        <w:rPr>
          <w:szCs w:val="28"/>
        </w:rPr>
        <w:t>Business</w:t>
      </w:r>
      <w:proofErr w:type="spellEnd"/>
      <w:r w:rsidRPr="00A40567">
        <w:rPr>
          <w:szCs w:val="28"/>
        </w:rPr>
        <w:t xml:space="preserve"> в части международной торговли.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Оценка прямых и косвенных эффектов для ОАО «РЖД», в том числе синергетических эффектов. 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Оценка прямых и косвенных эффектов для Заказчика.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Оценка влияния развития контейнеризации железнодорожных перевозок на развитие российской транспортной инфраструктуры, определение зон оптимизации, в том числе бюджетной.</w:t>
      </w:r>
    </w:p>
    <w:p w:rsidR="00100AC2" w:rsidRPr="00A40567" w:rsidRDefault="00100AC2" w:rsidP="00100AC2">
      <w:pPr>
        <w:pStyle w:val="ac"/>
        <w:numPr>
          <w:ilvl w:val="2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A40567" w:rsidDel="00B7648B">
        <w:rPr>
          <w:szCs w:val="28"/>
        </w:rPr>
        <w:t xml:space="preserve"> </w:t>
      </w:r>
      <w:r w:rsidRPr="00A40567">
        <w:rPr>
          <w:szCs w:val="28"/>
        </w:rPr>
        <w:t xml:space="preserve">Влияние на повышение значений целевых показателей объема </w:t>
      </w:r>
      <w:proofErr w:type="spellStart"/>
      <w:r w:rsidRPr="00A40567">
        <w:rPr>
          <w:szCs w:val="28"/>
        </w:rPr>
        <w:t>несырьевого</w:t>
      </w:r>
      <w:proofErr w:type="spellEnd"/>
      <w:r w:rsidRPr="00A40567">
        <w:rPr>
          <w:szCs w:val="28"/>
        </w:rPr>
        <w:t xml:space="preserve"> неэнергетического экспорта товаров и числа экспортеров, включенных в приоритетные проекты по направлению «Международная кооперация и экспорт», а также иные ключевые программные показатели. </w:t>
      </w:r>
    </w:p>
    <w:p w:rsidR="00100AC2" w:rsidRPr="00A40567" w:rsidRDefault="00100AC2" w:rsidP="00100AC2">
      <w:pPr>
        <w:pStyle w:val="ac"/>
        <w:spacing w:line="276" w:lineRule="auto"/>
        <w:ind w:left="567"/>
        <w:jc w:val="both"/>
        <w:rPr>
          <w:szCs w:val="28"/>
        </w:rPr>
      </w:pPr>
    </w:p>
    <w:p w:rsidR="00100AC2" w:rsidRPr="00A40567" w:rsidRDefault="00100AC2" w:rsidP="00100AC2">
      <w:pPr>
        <w:pStyle w:val="ac"/>
        <w:numPr>
          <w:ilvl w:val="0"/>
          <w:numId w:val="6"/>
        </w:numPr>
        <w:spacing w:before="120" w:after="120" w:line="276" w:lineRule="auto"/>
        <w:ind w:left="0" w:firstLine="567"/>
        <w:jc w:val="both"/>
        <w:rPr>
          <w:b/>
          <w:szCs w:val="28"/>
        </w:rPr>
      </w:pPr>
      <w:r w:rsidRPr="00A40567">
        <w:rPr>
          <w:b/>
          <w:szCs w:val="28"/>
        </w:rPr>
        <w:t>Основные результаты работы</w:t>
      </w:r>
    </w:p>
    <w:p w:rsidR="00100AC2" w:rsidRPr="00A40567" w:rsidRDefault="00100AC2" w:rsidP="00001CD0">
      <w:pPr>
        <w:pStyle w:val="ac"/>
        <w:spacing w:line="276" w:lineRule="auto"/>
        <w:ind w:left="0" w:firstLine="709"/>
        <w:jc w:val="both"/>
        <w:rPr>
          <w:szCs w:val="28"/>
        </w:rPr>
      </w:pPr>
      <w:r w:rsidRPr="00A40567">
        <w:rPr>
          <w:szCs w:val="28"/>
        </w:rPr>
        <w:t xml:space="preserve">3.1. </w:t>
      </w:r>
      <w:r w:rsidR="00A40567">
        <w:rPr>
          <w:szCs w:val="28"/>
        </w:rPr>
        <w:t xml:space="preserve">  </w:t>
      </w:r>
      <w:r w:rsidRPr="00A40567">
        <w:rPr>
          <w:szCs w:val="28"/>
        </w:rPr>
        <w:t xml:space="preserve">Разработка </w:t>
      </w:r>
      <w:r w:rsidR="00A40567">
        <w:rPr>
          <w:szCs w:val="28"/>
        </w:rPr>
        <w:t xml:space="preserve"> </w:t>
      </w:r>
      <w:r w:rsidRPr="00A40567">
        <w:rPr>
          <w:szCs w:val="28"/>
        </w:rPr>
        <w:t>экономической</w:t>
      </w:r>
      <w:r w:rsidR="00A40567">
        <w:rPr>
          <w:szCs w:val="28"/>
        </w:rPr>
        <w:t xml:space="preserve"> </w:t>
      </w:r>
      <w:r w:rsidRPr="00A40567">
        <w:rPr>
          <w:szCs w:val="28"/>
        </w:rPr>
        <w:t xml:space="preserve"> модели </w:t>
      </w:r>
      <w:r w:rsidR="00A40567">
        <w:rPr>
          <w:szCs w:val="28"/>
        </w:rPr>
        <w:t xml:space="preserve"> </w:t>
      </w:r>
      <w:r w:rsidRPr="00A40567">
        <w:rPr>
          <w:szCs w:val="28"/>
        </w:rPr>
        <w:t xml:space="preserve">развития </w:t>
      </w:r>
      <w:r w:rsidR="00A40567">
        <w:rPr>
          <w:szCs w:val="28"/>
        </w:rPr>
        <w:t xml:space="preserve"> </w:t>
      </w:r>
      <w:r w:rsidRPr="00A40567">
        <w:rPr>
          <w:szCs w:val="28"/>
        </w:rPr>
        <w:t xml:space="preserve">контейнерных перевозок с оценкой основных экономических эффектов от предлагаемых мероприятий. </w:t>
      </w:r>
    </w:p>
    <w:p w:rsidR="00100AC2" w:rsidRPr="00A40567" w:rsidRDefault="00100AC2" w:rsidP="00001CD0">
      <w:pPr>
        <w:pStyle w:val="ac"/>
        <w:spacing w:line="276" w:lineRule="auto"/>
        <w:ind w:left="0" w:firstLine="709"/>
        <w:jc w:val="both"/>
        <w:rPr>
          <w:szCs w:val="28"/>
        </w:rPr>
      </w:pPr>
      <w:r w:rsidRPr="00A40567">
        <w:rPr>
          <w:szCs w:val="28"/>
        </w:rPr>
        <w:t xml:space="preserve">3.2. </w:t>
      </w:r>
      <w:r w:rsidR="00A40567">
        <w:rPr>
          <w:szCs w:val="28"/>
        </w:rPr>
        <w:t xml:space="preserve"> </w:t>
      </w:r>
      <w:r w:rsidRPr="00A40567">
        <w:rPr>
          <w:szCs w:val="28"/>
        </w:rPr>
        <w:t>Определение ключевых показателей эффективности развития контейнерных перевозок.</w:t>
      </w:r>
    </w:p>
    <w:p w:rsidR="00100AC2" w:rsidRPr="00A40567" w:rsidRDefault="00100AC2" w:rsidP="00001CD0">
      <w:pPr>
        <w:pStyle w:val="ac"/>
        <w:spacing w:line="276" w:lineRule="auto"/>
        <w:ind w:left="0" w:firstLine="709"/>
        <w:jc w:val="both"/>
        <w:rPr>
          <w:szCs w:val="28"/>
        </w:rPr>
      </w:pPr>
      <w:r w:rsidRPr="00A40567">
        <w:rPr>
          <w:szCs w:val="28"/>
        </w:rPr>
        <w:t>3.3. Формирование предложений по мерам государственного регулирования и стимулирования.</w:t>
      </w:r>
    </w:p>
    <w:p w:rsidR="00100AC2" w:rsidRPr="00A40567" w:rsidRDefault="00100AC2" w:rsidP="00001CD0">
      <w:pPr>
        <w:pStyle w:val="ac"/>
        <w:spacing w:line="276" w:lineRule="auto"/>
        <w:ind w:left="0" w:firstLine="709"/>
        <w:jc w:val="both"/>
        <w:rPr>
          <w:szCs w:val="28"/>
        </w:rPr>
      </w:pPr>
      <w:r w:rsidRPr="00A40567">
        <w:rPr>
          <w:szCs w:val="28"/>
        </w:rPr>
        <w:t xml:space="preserve">3.4. </w:t>
      </w:r>
      <w:r w:rsidR="00A40567">
        <w:rPr>
          <w:szCs w:val="28"/>
        </w:rPr>
        <w:t xml:space="preserve">  </w:t>
      </w:r>
      <w:proofErr w:type="gramStart"/>
      <w:r w:rsidRPr="00A40567">
        <w:rPr>
          <w:szCs w:val="28"/>
        </w:rPr>
        <w:t>Подготовка</w:t>
      </w:r>
      <w:r w:rsidR="00A40567">
        <w:rPr>
          <w:szCs w:val="28"/>
        </w:rPr>
        <w:t xml:space="preserve">  </w:t>
      </w:r>
      <w:r w:rsidRPr="00A40567">
        <w:rPr>
          <w:szCs w:val="28"/>
        </w:rPr>
        <w:t xml:space="preserve"> предложений</w:t>
      </w:r>
      <w:r w:rsidR="00A40567">
        <w:rPr>
          <w:szCs w:val="28"/>
        </w:rPr>
        <w:t xml:space="preserve">  </w:t>
      </w:r>
      <w:r w:rsidRPr="00A40567">
        <w:rPr>
          <w:szCs w:val="28"/>
        </w:rPr>
        <w:t xml:space="preserve"> по</w:t>
      </w:r>
      <w:r w:rsidR="00A40567">
        <w:rPr>
          <w:szCs w:val="28"/>
        </w:rPr>
        <w:t xml:space="preserve">  </w:t>
      </w:r>
      <w:r w:rsidRPr="00A40567">
        <w:rPr>
          <w:szCs w:val="28"/>
        </w:rPr>
        <w:t xml:space="preserve"> внесению</w:t>
      </w:r>
      <w:r w:rsidR="00A40567">
        <w:rPr>
          <w:szCs w:val="28"/>
        </w:rPr>
        <w:t xml:space="preserve"> </w:t>
      </w:r>
      <w:r w:rsidRPr="00A40567">
        <w:rPr>
          <w:szCs w:val="28"/>
        </w:rPr>
        <w:t xml:space="preserve"> </w:t>
      </w:r>
      <w:r w:rsidR="00A40567">
        <w:rPr>
          <w:szCs w:val="28"/>
        </w:rPr>
        <w:t xml:space="preserve"> </w:t>
      </w:r>
      <w:r w:rsidRPr="00A40567">
        <w:rPr>
          <w:szCs w:val="28"/>
        </w:rPr>
        <w:t>изменений</w:t>
      </w:r>
      <w:r w:rsidR="00A40567">
        <w:rPr>
          <w:szCs w:val="28"/>
        </w:rPr>
        <w:t xml:space="preserve">  </w:t>
      </w:r>
      <w:r w:rsidRPr="00A40567">
        <w:rPr>
          <w:szCs w:val="28"/>
        </w:rPr>
        <w:t xml:space="preserve"> в государственные программы Российской Федерации, а также приоритетные проекты и иные документы стратегического планирования (например, Транспортную стратегию Российской Федерации на период до 2030 года,  Стратегию развития железнодорожного транспорта в Российской Федерации до 2030 года и иные) в части включения (уточнения) мероприятий, мер и показателей, направленных на развитие контейнерных перевозок.</w:t>
      </w:r>
      <w:proofErr w:type="gramEnd"/>
    </w:p>
    <w:p w:rsidR="00100AC2" w:rsidRPr="00A40567" w:rsidRDefault="00100AC2" w:rsidP="00001CD0">
      <w:pPr>
        <w:pStyle w:val="ac"/>
        <w:spacing w:line="276" w:lineRule="auto"/>
        <w:ind w:left="0" w:firstLine="709"/>
        <w:jc w:val="both"/>
        <w:rPr>
          <w:szCs w:val="28"/>
        </w:rPr>
      </w:pPr>
      <w:r w:rsidRPr="00A40567">
        <w:rPr>
          <w:szCs w:val="28"/>
        </w:rPr>
        <w:t>3.5. Формирование предложений по плану мероприятий («дорожной карте») развития контейнерных перевозок.</w:t>
      </w:r>
    </w:p>
    <w:p w:rsidR="00100AC2" w:rsidRPr="00A40567" w:rsidRDefault="00100AC2" w:rsidP="00001CD0">
      <w:pPr>
        <w:pStyle w:val="ac"/>
        <w:spacing w:line="276" w:lineRule="auto"/>
        <w:ind w:left="0" w:firstLine="709"/>
        <w:jc w:val="both"/>
        <w:rPr>
          <w:szCs w:val="28"/>
        </w:rPr>
      </w:pPr>
      <w:r w:rsidRPr="00A40567">
        <w:rPr>
          <w:szCs w:val="28"/>
        </w:rPr>
        <w:t xml:space="preserve">3.6. </w:t>
      </w:r>
      <w:r w:rsidR="00A40567">
        <w:rPr>
          <w:szCs w:val="28"/>
        </w:rPr>
        <w:t xml:space="preserve">  </w:t>
      </w:r>
      <w:r w:rsidRPr="00A40567">
        <w:rPr>
          <w:szCs w:val="28"/>
        </w:rPr>
        <w:t>Предоставление рекомендаций Заказчику относительно приоритетов и направлений развития железнодорожных контейнерных перевозок.</w:t>
      </w:r>
    </w:p>
    <w:p w:rsidR="00100AC2" w:rsidRPr="00A40567" w:rsidRDefault="00100AC2" w:rsidP="00100AC2">
      <w:pPr>
        <w:pStyle w:val="ac"/>
        <w:ind w:left="0" w:firstLine="567"/>
        <w:jc w:val="both"/>
        <w:rPr>
          <w:szCs w:val="28"/>
        </w:rPr>
      </w:pPr>
    </w:p>
    <w:p w:rsidR="00100AC2" w:rsidRPr="00A40567" w:rsidRDefault="00100AC2" w:rsidP="00100AC2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b/>
          <w:szCs w:val="28"/>
        </w:rPr>
      </w:pPr>
      <w:r w:rsidRPr="00A40567">
        <w:rPr>
          <w:b/>
          <w:szCs w:val="28"/>
        </w:rPr>
        <w:t>Методика работы</w:t>
      </w:r>
    </w:p>
    <w:p w:rsidR="00100AC2" w:rsidRPr="00A40567" w:rsidRDefault="00100AC2" w:rsidP="00001CD0">
      <w:pPr>
        <w:pStyle w:val="ac"/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4.1. В целях оказания услуг и достижения указанных основных результатов работы будет проведен анализ грузопотоков автомобильными, морскими и железнодорожными видами транспорта, включая внутренние, транзитные, импортные и экспортные грузоперевозки, а также анализ номенклатуры грузов, анализ существующего прогноза развития (расширения) грузовой </w:t>
      </w:r>
      <w:proofErr w:type="gramStart"/>
      <w:r w:rsidRPr="00A40567">
        <w:rPr>
          <w:szCs w:val="28"/>
        </w:rPr>
        <w:t>базы</w:t>
      </w:r>
      <w:proofErr w:type="gramEnd"/>
      <w:r w:rsidRPr="00A40567">
        <w:rPr>
          <w:szCs w:val="28"/>
        </w:rPr>
        <w:t xml:space="preserve"> как в России, так и за рубежом. </w:t>
      </w:r>
    </w:p>
    <w:p w:rsidR="00100AC2" w:rsidRPr="00A40567" w:rsidRDefault="00100AC2" w:rsidP="00001CD0">
      <w:pPr>
        <w:pStyle w:val="ac"/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В ходе такого анализа будет выявлен потенциал переключения грузов на железную дорогу. Данный анализ позволит провести оценку потенциала роста контейнерных перевозок, а также выявит факторы, способствующие переключению грузопотоков.</w:t>
      </w:r>
    </w:p>
    <w:p w:rsidR="00100AC2" w:rsidRPr="00A40567" w:rsidRDefault="00100AC2" w:rsidP="00001CD0">
      <w:pPr>
        <w:pStyle w:val="ac"/>
        <w:spacing w:line="276" w:lineRule="auto"/>
        <w:ind w:left="0" w:firstLine="567"/>
        <w:jc w:val="both"/>
        <w:rPr>
          <w:szCs w:val="28"/>
        </w:rPr>
      </w:pPr>
      <w:proofErr w:type="gramStart"/>
      <w:r w:rsidRPr="00A40567">
        <w:rPr>
          <w:szCs w:val="28"/>
        </w:rPr>
        <w:t>Кроме того, будет проведен анализ действующей нормативной правовой базы Российской Федерации, регулирующей деятельность грузовых перевозок (в том числе налоговое и таможенное регулирование, нормативно-технологическая документация, требования к документообороту перевозочной и экспедиторской деятельности), а также анализ документов стратегического планирования (включая отраслевые стратегии, государственные программы Российской Федерации, приоритетные проекты и иные программные и проектные документы), направленные прямо или косвенно на развитие грузовых перевозок</w:t>
      </w:r>
      <w:proofErr w:type="gramEnd"/>
      <w:r w:rsidRPr="00A40567">
        <w:rPr>
          <w:szCs w:val="28"/>
        </w:rPr>
        <w:t>, включая развитие контейнеризации.</w:t>
      </w:r>
    </w:p>
    <w:p w:rsidR="00100AC2" w:rsidRPr="00A40567" w:rsidRDefault="00100AC2" w:rsidP="00001CD0">
      <w:pPr>
        <w:pStyle w:val="ac"/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Также будет проведена оценка того, насколько применение контейнерных технологий может повысить эффективность реализации государственных проектов и программ, напрямую не связанных с грузовыми перевозками, например:</w:t>
      </w:r>
    </w:p>
    <w:p w:rsidR="00100AC2" w:rsidRPr="00A40567" w:rsidRDefault="00100AC2" w:rsidP="00001CD0">
      <w:pPr>
        <w:pStyle w:val="ac"/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развитие </w:t>
      </w:r>
      <w:proofErr w:type="spellStart"/>
      <w:r w:rsidRPr="00A40567">
        <w:rPr>
          <w:szCs w:val="28"/>
        </w:rPr>
        <w:t>несырьевого</w:t>
      </w:r>
      <w:proofErr w:type="spellEnd"/>
      <w:r w:rsidRPr="00A40567">
        <w:rPr>
          <w:szCs w:val="28"/>
        </w:rPr>
        <w:t xml:space="preserve"> экспорта, в том числе продовольственного, и достижение иных целей и показателей государственной программы Российской Федерации «Развитие внешнеэкономической деятельности»;</w:t>
      </w:r>
    </w:p>
    <w:p w:rsidR="00100AC2" w:rsidRPr="00A40567" w:rsidRDefault="00100AC2" w:rsidP="00001CD0">
      <w:pPr>
        <w:pStyle w:val="ac"/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развитие химической промышленности и производства минеральных удобрений, в том числе в рамках государственной программы Российской Федерации «Развитие промышленности и повышение ее конкурентоспособности»;</w:t>
      </w:r>
    </w:p>
    <w:p w:rsidR="00100AC2" w:rsidRPr="00A40567" w:rsidRDefault="00100AC2" w:rsidP="00001CD0">
      <w:pPr>
        <w:pStyle w:val="ac"/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развитие производства СПГ и вовлечение его в хозяйственный оборот, в том числе в рамках программы газификации и государственной программы Российской Федерации «</w:t>
      </w:r>
      <w:proofErr w:type="spellStart"/>
      <w:r w:rsidRPr="00A40567">
        <w:rPr>
          <w:szCs w:val="28"/>
        </w:rPr>
        <w:t>Энергоэффективность</w:t>
      </w:r>
      <w:proofErr w:type="spellEnd"/>
      <w:r w:rsidRPr="00A40567">
        <w:rPr>
          <w:szCs w:val="28"/>
        </w:rPr>
        <w:t xml:space="preserve"> и развитие энергетики»;</w:t>
      </w:r>
    </w:p>
    <w:p w:rsidR="00100AC2" w:rsidRPr="00A40567" w:rsidRDefault="00100AC2" w:rsidP="00001CD0">
      <w:pPr>
        <w:pStyle w:val="ac"/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развитие межгосударственных транзитных коридоров и иные направления в рамках государственной программы Российской Федерации «Развитие транспортной системы»;</w:t>
      </w:r>
    </w:p>
    <w:p w:rsidR="00100AC2" w:rsidRPr="00A40567" w:rsidRDefault="00100AC2" w:rsidP="00001CD0">
      <w:pPr>
        <w:pStyle w:val="ac"/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>иные цели государственной политики, планируемые к достижению в рамках приоритетного направления «Международная кооперация и экспорт».</w:t>
      </w:r>
    </w:p>
    <w:p w:rsidR="00100AC2" w:rsidRPr="00A40567" w:rsidRDefault="00100AC2" w:rsidP="00001CD0">
      <w:pPr>
        <w:spacing w:line="276" w:lineRule="auto"/>
        <w:jc w:val="both"/>
        <w:rPr>
          <w:szCs w:val="28"/>
        </w:rPr>
      </w:pPr>
      <w:r w:rsidRPr="00A40567">
        <w:rPr>
          <w:szCs w:val="28"/>
        </w:rPr>
        <w:t xml:space="preserve">В </w:t>
      </w:r>
      <w:proofErr w:type="gramStart"/>
      <w:r w:rsidRPr="00A40567">
        <w:rPr>
          <w:szCs w:val="28"/>
        </w:rPr>
        <w:t>результате</w:t>
      </w:r>
      <w:proofErr w:type="gramEnd"/>
      <w:r w:rsidRPr="00A40567">
        <w:rPr>
          <w:szCs w:val="28"/>
        </w:rPr>
        <w:t xml:space="preserve"> этих исследований будут идентифицированы потенциальные «точки роста» и связанные с ними дополнительные объемы перевозок.</w:t>
      </w:r>
    </w:p>
    <w:p w:rsidR="00100AC2" w:rsidRPr="00A40567" w:rsidRDefault="00100AC2" w:rsidP="00001CD0">
      <w:pPr>
        <w:pStyle w:val="ac"/>
        <w:spacing w:line="276" w:lineRule="auto"/>
        <w:ind w:left="0"/>
        <w:jc w:val="both"/>
        <w:rPr>
          <w:szCs w:val="28"/>
        </w:rPr>
      </w:pPr>
      <w:r w:rsidRPr="00A40567">
        <w:rPr>
          <w:szCs w:val="28"/>
        </w:rPr>
        <w:t>Данный анализ позволит оценить потенциал оптимизации инфраструктуры, сформировать предложения по тарифным решениям и совершенствованию государственного регулирования, а также провести оценку влияния на экономику развития контейнеризации.</w:t>
      </w:r>
    </w:p>
    <w:p w:rsidR="00100AC2" w:rsidRPr="00A40567" w:rsidRDefault="00100AC2" w:rsidP="00001CD0">
      <w:pPr>
        <w:pStyle w:val="ac"/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4.2. </w:t>
      </w:r>
      <w:proofErr w:type="gramStart"/>
      <w:r w:rsidRPr="00A40567">
        <w:rPr>
          <w:szCs w:val="28"/>
        </w:rPr>
        <w:t xml:space="preserve">В целях оказания услуг и достижения указанных основных результатов работы будет проведен анализ объемов контейнерного грузооборота как в рамках внешнеторговых и транзитных операций, так и внутри страны и сформирован прогноз контейнерного грузооборота. </w:t>
      </w:r>
      <w:proofErr w:type="gramEnd"/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4.3. Прогноз контейнерного грузооборота будет базироваться на основании сценарного анализа, ключевыми вводными для которого будут являться: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– конкурентоспособность железнодорожных контейнерных перевозок относительно перевозок автопоездами на средних и дальних расстояниях;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– создание массового производства отечественных вкладышей в контейнеры для перевозки сыпучих и жидких грузов в контейнерах и увеличение их доли при перевозках данных видов продукции;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– развитие опорной сети высокопроизводительной инфраструктуры для обеспечения контейнерного грузооборота, в том числе центров формирования сборных контейнерных грузов;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– снижение стоимости первой и последней мили доставки контейнеров через долгосрочные контракты с автоперевозчиками;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– увеличение доли маршрутных контейнерных поездов;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>– органический рост контейнеризации внутренней и внешней торговли;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 xml:space="preserve">– внедрение </w:t>
      </w:r>
      <w:r w:rsidRPr="00A40567">
        <w:rPr>
          <w:szCs w:val="28"/>
          <w:lang w:val="en-US"/>
        </w:rPr>
        <w:t>IT</w:t>
      </w:r>
      <w:r w:rsidRPr="00A40567">
        <w:rPr>
          <w:szCs w:val="28"/>
        </w:rPr>
        <w:t>-систем, обеспечивающих снижение порожних пробегов вагонов и контейнеров.</w:t>
      </w:r>
    </w:p>
    <w:p w:rsidR="00100AC2" w:rsidRPr="00A40567" w:rsidRDefault="00100AC2" w:rsidP="00001CD0">
      <w:pPr>
        <w:pStyle w:val="ac"/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4.4. Кроме того, будет проведен анализ мирового опыта развития контейнерных перевозок, включая опыт создания и функционирования логистических центров, а также опыт применения технологических и нормативных решений (меры государственного регулирования, включая тарифные решения), направленных на развитие контейнеризации за рубежом. </w:t>
      </w:r>
    </w:p>
    <w:p w:rsidR="00100AC2" w:rsidRPr="00A40567" w:rsidRDefault="00100AC2" w:rsidP="00001CD0">
      <w:pPr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 xml:space="preserve">4.5. В ходе выполнения услуг будут, в том числе, использованы данные Минтранса России, </w:t>
      </w:r>
      <w:proofErr w:type="spellStart"/>
      <w:r w:rsidRPr="00A40567">
        <w:rPr>
          <w:szCs w:val="28"/>
        </w:rPr>
        <w:t>Росавтодора</w:t>
      </w:r>
      <w:proofErr w:type="spellEnd"/>
      <w:r w:rsidRPr="00A40567">
        <w:rPr>
          <w:szCs w:val="28"/>
        </w:rPr>
        <w:t xml:space="preserve">, </w:t>
      </w:r>
      <w:proofErr w:type="spellStart"/>
      <w:r w:rsidRPr="00A40567">
        <w:rPr>
          <w:szCs w:val="28"/>
        </w:rPr>
        <w:t>Росморречфлота</w:t>
      </w:r>
      <w:proofErr w:type="spellEnd"/>
      <w:r w:rsidRPr="00A40567">
        <w:rPr>
          <w:szCs w:val="28"/>
        </w:rPr>
        <w:t>, ФГУП «</w:t>
      </w:r>
      <w:proofErr w:type="spellStart"/>
      <w:r w:rsidRPr="00A40567">
        <w:rPr>
          <w:szCs w:val="28"/>
        </w:rPr>
        <w:t>Росморпорт</w:t>
      </w:r>
      <w:proofErr w:type="spellEnd"/>
      <w:r w:rsidRPr="00A40567">
        <w:rPr>
          <w:szCs w:val="28"/>
        </w:rPr>
        <w:t>», ФТС России, Росстата, ОАО «РЖД», правовые информационные системы (например, «Консультант плюс», «Гарант»), данные международных организаций, основных грузоперевозчиков, крупнейших морских контейнерных терминалов.</w:t>
      </w:r>
    </w:p>
    <w:p w:rsidR="00100AC2" w:rsidRPr="00A40567" w:rsidRDefault="00100AC2" w:rsidP="00100AC2">
      <w:pPr>
        <w:ind w:firstLine="567"/>
        <w:jc w:val="both"/>
        <w:rPr>
          <w:szCs w:val="28"/>
        </w:rPr>
      </w:pPr>
    </w:p>
    <w:p w:rsidR="00100AC2" w:rsidRPr="00A40567" w:rsidRDefault="00100AC2" w:rsidP="00100AC2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b/>
          <w:szCs w:val="28"/>
        </w:rPr>
      </w:pPr>
      <w:r w:rsidRPr="00A40567">
        <w:rPr>
          <w:b/>
          <w:szCs w:val="28"/>
        </w:rPr>
        <w:t>Сроки работы</w:t>
      </w:r>
    </w:p>
    <w:p w:rsidR="00100AC2" w:rsidRPr="00A40567" w:rsidRDefault="00837C1A" w:rsidP="00100AC2">
      <w:pPr>
        <w:pStyle w:val="ac"/>
        <w:ind w:left="0"/>
        <w:rPr>
          <w:bCs/>
          <w:szCs w:val="28"/>
        </w:rPr>
      </w:pPr>
      <w:r w:rsidRPr="00A40567">
        <w:rPr>
          <w:szCs w:val="28"/>
        </w:rPr>
        <w:tab/>
      </w:r>
      <w:r w:rsidR="00100AC2" w:rsidRPr="00A40567">
        <w:rPr>
          <w:szCs w:val="28"/>
        </w:rPr>
        <w:t>Срок выполнения работ – 4 (четыре) календарных месяца с даты подписания договора об оказании Услуг</w:t>
      </w:r>
      <w:r w:rsidR="00100AC2" w:rsidRPr="00A40567">
        <w:rPr>
          <w:bCs/>
          <w:szCs w:val="28"/>
        </w:rPr>
        <w:t>.</w:t>
      </w:r>
    </w:p>
    <w:p w:rsidR="00100AC2" w:rsidRPr="00A40567" w:rsidRDefault="00100AC2" w:rsidP="00100AC2">
      <w:pPr>
        <w:pStyle w:val="ac"/>
        <w:ind w:left="0"/>
        <w:rPr>
          <w:szCs w:val="28"/>
        </w:rPr>
      </w:pPr>
    </w:p>
    <w:p w:rsidR="00100AC2" w:rsidRPr="00A40567" w:rsidRDefault="00100AC2" w:rsidP="00100AC2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b/>
          <w:szCs w:val="28"/>
        </w:rPr>
      </w:pPr>
      <w:r w:rsidRPr="00A40567">
        <w:rPr>
          <w:b/>
          <w:szCs w:val="28"/>
        </w:rPr>
        <w:t>Требования к предоставлению результатов</w:t>
      </w:r>
    </w:p>
    <w:p w:rsidR="00100AC2" w:rsidRPr="00A40567" w:rsidRDefault="00100AC2" w:rsidP="00001CD0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Cs w:val="28"/>
        </w:rPr>
      </w:pPr>
      <w:r w:rsidRPr="00A40567">
        <w:rPr>
          <w:szCs w:val="28"/>
        </w:rPr>
        <w:t xml:space="preserve"> </w:t>
      </w:r>
      <w:r w:rsidR="00A40567">
        <w:rPr>
          <w:szCs w:val="28"/>
        </w:rPr>
        <w:t xml:space="preserve">   </w:t>
      </w:r>
      <w:r w:rsidRPr="00A40567">
        <w:rPr>
          <w:szCs w:val="28"/>
        </w:rPr>
        <w:t xml:space="preserve">Отчет о выполненной работе предоставляется Заказчику в одном экземпляре на бумажном носителе и в электронном виде (в форматах программного обеспечения </w:t>
      </w:r>
      <w:r w:rsidRPr="00A40567">
        <w:rPr>
          <w:szCs w:val="28"/>
          <w:lang w:val="en-US"/>
        </w:rPr>
        <w:t>Microsoft</w:t>
      </w:r>
      <w:r w:rsidRPr="00A40567">
        <w:rPr>
          <w:szCs w:val="28"/>
        </w:rPr>
        <w:t xml:space="preserve"> </w:t>
      </w:r>
      <w:r w:rsidRPr="00A40567">
        <w:rPr>
          <w:szCs w:val="28"/>
          <w:lang w:val="en-US"/>
        </w:rPr>
        <w:t>Office</w:t>
      </w:r>
      <w:r w:rsidRPr="00A40567">
        <w:rPr>
          <w:szCs w:val="28"/>
        </w:rPr>
        <w:t xml:space="preserve"> 2003 или совместимого с ним).</w:t>
      </w:r>
    </w:p>
    <w:p w:rsidR="00100AC2" w:rsidRPr="00A40567" w:rsidRDefault="00100AC2" w:rsidP="00001CD0">
      <w:pPr>
        <w:tabs>
          <w:tab w:val="left" w:pos="993"/>
        </w:tabs>
        <w:autoSpaceDE w:val="0"/>
        <w:autoSpaceDN w:val="0"/>
        <w:spacing w:line="276" w:lineRule="auto"/>
        <w:ind w:firstLine="567"/>
        <w:rPr>
          <w:szCs w:val="28"/>
        </w:rPr>
      </w:pPr>
      <w:r w:rsidRPr="00A40567">
        <w:rPr>
          <w:szCs w:val="28"/>
        </w:rPr>
        <w:t xml:space="preserve">6.2. </w:t>
      </w:r>
      <w:r w:rsidR="00A40567">
        <w:rPr>
          <w:szCs w:val="28"/>
        </w:rPr>
        <w:t xml:space="preserve">   </w:t>
      </w:r>
      <w:r w:rsidRPr="00A40567">
        <w:rPr>
          <w:szCs w:val="28"/>
        </w:rPr>
        <w:t xml:space="preserve">Отчет состоит </w:t>
      </w:r>
      <w:proofErr w:type="gramStart"/>
      <w:r w:rsidRPr="00A40567">
        <w:rPr>
          <w:szCs w:val="28"/>
        </w:rPr>
        <w:t>из</w:t>
      </w:r>
      <w:proofErr w:type="gramEnd"/>
      <w:r w:rsidRPr="00A40567">
        <w:rPr>
          <w:szCs w:val="28"/>
        </w:rPr>
        <w:t>:</w:t>
      </w:r>
    </w:p>
    <w:p w:rsidR="00100AC2" w:rsidRPr="00A40567" w:rsidRDefault="00100AC2" w:rsidP="00001CD0">
      <w:pPr>
        <w:tabs>
          <w:tab w:val="left" w:pos="993"/>
        </w:tabs>
        <w:autoSpaceDE w:val="0"/>
        <w:autoSpaceDN w:val="0"/>
        <w:spacing w:line="276" w:lineRule="auto"/>
        <w:rPr>
          <w:szCs w:val="28"/>
        </w:rPr>
      </w:pPr>
      <w:r w:rsidRPr="00A40567">
        <w:rPr>
          <w:szCs w:val="28"/>
        </w:rPr>
        <w:t>– текстового файла;</w:t>
      </w:r>
    </w:p>
    <w:p w:rsidR="00100AC2" w:rsidRPr="00A40567" w:rsidRDefault="00100AC2" w:rsidP="00001CD0">
      <w:pPr>
        <w:tabs>
          <w:tab w:val="left" w:pos="993"/>
        </w:tabs>
        <w:autoSpaceDE w:val="0"/>
        <w:autoSpaceDN w:val="0"/>
        <w:spacing w:line="276" w:lineRule="auto"/>
        <w:rPr>
          <w:szCs w:val="28"/>
        </w:rPr>
      </w:pPr>
      <w:r w:rsidRPr="00A40567">
        <w:rPr>
          <w:szCs w:val="28"/>
        </w:rPr>
        <w:t>– подробной презентации;</w:t>
      </w:r>
    </w:p>
    <w:p w:rsidR="00100AC2" w:rsidRPr="00A40567" w:rsidRDefault="00100AC2" w:rsidP="00001CD0">
      <w:pPr>
        <w:tabs>
          <w:tab w:val="left" w:pos="993"/>
        </w:tabs>
        <w:autoSpaceDE w:val="0"/>
        <w:autoSpaceDN w:val="0"/>
        <w:spacing w:line="276" w:lineRule="auto"/>
        <w:rPr>
          <w:szCs w:val="28"/>
        </w:rPr>
      </w:pPr>
      <w:r w:rsidRPr="00A40567">
        <w:rPr>
          <w:szCs w:val="28"/>
        </w:rPr>
        <w:t>– короткой презентации.</w:t>
      </w:r>
    </w:p>
    <w:p w:rsidR="00100AC2" w:rsidRPr="00A40567" w:rsidRDefault="00100AC2" w:rsidP="00001CD0">
      <w:p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szCs w:val="28"/>
        </w:rPr>
      </w:pPr>
      <w:r w:rsidRPr="00A40567">
        <w:rPr>
          <w:szCs w:val="28"/>
        </w:rPr>
        <w:t xml:space="preserve">6.3. При необходимости Исполнитель выступает с презентацией результатов работы, принимает участие в совещаниях и иных мероприятиях по теме работы (не более 10 мероприятий), организует проведение круглого стола по теме работы. </w:t>
      </w:r>
    </w:p>
    <w:p w:rsidR="00100AC2" w:rsidRDefault="00100AC2" w:rsidP="00837320">
      <w:pPr>
        <w:jc w:val="center"/>
        <w:rPr>
          <w:sz w:val="20"/>
        </w:rPr>
      </w:pPr>
      <w:bookmarkStart w:id="0" w:name="_GoBack"/>
      <w:bookmarkEnd w:id="0"/>
    </w:p>
    <w:sectPr w:rsidR="00100AC2" w:rsidSect="00557EF5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F0" w:rsidRDefault="006603F0" w:rsidP="00C8088C">
      <w:r>
        <w:separator/>
      </w:r>
    </w:p>
  </w:endnote>
  <w:endnote w:type="continuationSeparator" w:id="0">
    <w:p w:rsidR="006603F0" w:rsidRDefault="006603F0" w:rsidP="00C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F0" w:rsidRDefault="006603F0" w:rsidP="00C8088C">
      <w:r>
        <w:separator/>
      </w:r>
    </w:p>
  </w:footnote>
  <w:footnote w:type="continuationSeparator" w:id="0">
    <w:p w:rsidR="006603F0" w:rsidRDefault="006603F0" w:rsidP="00C8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647B02"/>
    <w:multiLevelType w:val="hybridMultilevel"/>
    <w:tmpl w:val="7E82A2B4"/>
    <w:lvl w:ilvl="0" w:tplc="7902B2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10360"/>
    <w:multiLevelType w:val="multilevel"/>
    <w:tmpl w:val="5E126EC8"/>
    <w:name w:val="zzmpENG||ENG|3|1|1|1|0|41||1|2|32||1|2|32||1|2|32||mpNA||mpNA||mpNA||mpNA||mpNA||"/>
    <w:lvl w:ilvl="0">
      <w:start w:val="1"/>
      <w:numFmt w:val="decimal"/>
      <w:pStyle w:val="ENG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u w:val="none"/>
        <w:effect w:val="none"/>
      </w:rPr>
    </w:lvl>
    <w:lvl w:ilvl="1">
      <w:start w:val="1"/>
      <w:numFmt w:val="decimal"/>
      <w:pStyle w:val="ENGL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Letter"/>
      <w:pStyle w:val="ENGL3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lowerRoman"/>
      <w:pStyle w:val="ENGL4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5">
    <w:nsid w:val="761E3E90"/>
    <w:multiLevelType w:val="multilevel"/>
    <w:tmpl w:val="48C4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B5"/>
    <w:rsid w:val="00001CD0"/>
    <w:rsid w:val="00002EBC"/>
    <w:rsid w:val="00004EB7"/>
    <w:rsid w:val="00013F41"/>
    <w:rsid w:val="0002789B"/>
    <w:rsid w:val="000314FB"/>
    <w:rsid w:val="00044679"/>
    <w:rsid w:val="000847DC"/>
    <w:rsid w:val="000A015A"/>
    <w:rsid w:val="000A1952"/>
    <w:rsid w:val="000A4507"/>
    <w:rsid w:val="000A6618"/>
    <w:rsid w:val="000C0C5C"/>
    <w:rsid w:val="00100AC2"/>
    <w:rsid w:val="00166131"/>
    <w:rsid w:val="00175777"/>
    <w:rsid w:val="0018402E"/>
    <w:rsid w:val="001A3056"/>
    <w:rsid w:val="001C7C6E"/>
    <w:rsid w:val="001F2C49"/>
    <w:rsid w:val="001F79D1"/>
    <w:rsid w:val="002024A9"/>
    <w:rsid w:val="00210410"/>
    <w:rsid w:val="00216601"/>
    <w:rsid w:val="00231BFD"/>
    <w:rsid w:val="00242287"/>
    <w:rsid w:val="002678B9"/>
    <w:rsid w:val="00280E07"/>
    <w:rsid w:val="002A108F"/>
    <w:rsid w:val="002A74B5"/>
    <w:rsid w:val="002F43EC"/>
    <w:rsid w:val="0030616A"/>
    <w:rsid w:val="0030637A"/>
    <w:rsid w:val="00307FCB"/>
    <w:rsid w:val="00316220"/>
    <w:rsid w:val="00322736"/>
    <w:rsid w:val="00336847"/>
    <w:rsid w:val="00342618"/>
    <w:rsid w:val="00354439"/>
    <w:rsid w:val="0036002C"/>
    <w:rsid w:val="00371C78"/>
    <w:rsid w:val="003964A6"/>
    <w:rsid w:val="003A71F7"/>
    <w:rsid w:val="003A72AA"/>
    <w:rsid w:val="003B02A4"/>
    <w:rsid w:val="00411D5D"/>
    <w:rsid w:val="00432034"/>
    <w:rsid w:val="00435130"/>
    <w:rsid w:val="004427CB"/>
    <w:rsid w:val="004527A5"/>
    <w:rsid w:val="00465C12"/>
    <w:rsid w:val="00485C65"/>
    <w:rsid w:val="00491A96"/>
    <w:rsid w:val="004A328B"/>
    <w:rsid w:val="004B4BBF"/>
    <w:rsid w:val="004F3E57"/>
    <w:rsid w:val="005031F9"/>
    <w:rsid w:val="00514156"/>
    <w:rsid w:val="00532693"/>
    <w:rsid w:val="00534D96"/>
    <w:rsid w:val="00557EF5"/>
    <w:rsid w:val="00567753"/>
    <w:rsid w:val="00581C70"/>
    <w:rsid w:val="0058738C"/>
    <w:rsid w:val="00590C6F"/>
    <w:rsid w:val="00591B9C"/>
    <w:rsid w:val="006246B9"/>
    <w:rsid w:val="00657A90"/>
    <w:rsid w:val="006603F0"/>
    <w:rsid w:val="00696343"/>
    <w:rsid w:val="006A4FC4"/>
    <w:rsid w:val="006B5A3F"/>
    <w:rsid w:val="006F6157"/>
    <w:rsid w:val="007038DD"/>
    <w:rsid w:val="00711629"/>
    <w:rsid w:val="00736C7C"/>
    <w:rsid w:val="0075147B"/>
    <w:rsid w:val="007622CC"/>
    <w:rsid w:val="00767D2D"/>
    <w:rsid w:val="007B7633"/>
    <w:rsid w:val="007E628C"/>
    <w:rsid w:val="007E7D31"/>
    <w:rsid w:val="00806A5C"/>
    <w:rsid w:val="00815FDB"/>
    <w:rsid w:val="0082136F"/>
    <w:rsid w:val="00824D39"/>
    <w:rsid w:val="008254F8"/>
    <w:rsid w:val="00837320"/>
    <w:rsid w:val="00837C1A"/>
    <w:rsid w:val="00837C28"/>
    <w:rsid w:val="00842794"/>
    <w:rsid w:val="00861519"/>
    <w:rsid w:val="008941C2"/>
    <w:rsid w:val="008A03F0"/>
    <w:rsid w:val="008A107D"/>
    <w:rsid w:val="008A314F"/>
    <w:rsid w:val="008A5D97"/>
    <w:rsid w:val="008B2930"/>
    <w:rsid w:val="008B4C90"/>
    <w:rsid w:val="008C15FD"/>
    <w:rsid w:val="008C58D2"/>
    <w:rsid w:val="008E22BF"/>
    <w:rsid w:val="008F0DAE"/>
    <w:rsid w:val="008F1465"/>
    <w:rsid w:val="008F6B64"/>
    <w:rsid w:val="009055DB"/>
    <w:rsid w:val="00916183"/>
    <w:rsid w:val="009260E2"/>
    <w:rsid w:val="009422A6"/>
    <w:rsid w:val="009658C2"/>
    <w:rsid w:val="00972657"/>
    <w:rsid w:val="00976F66"/>
    <w:rsid w:val="00983F7D"/>
    <w:rsid w:val="009A3094"/>
    <w:rsid w:val="009B797A"/>
    <w:rsid w:val="009C3966"/>
    <w:rsid w:val="009C4F48"/>
    <w:rsid w:val="00A05476"/>
    <w:rsid w:val="00A2685E"/>
    <w:rsid w:val="00A40567"/>
    <w:rsid w:val="00A41232"/>
    <w:rsid w:val="00A502B1"/>
    <w:rsid w:val="00A50C67"/>
    <w:rsid w:val="00A649C1"/>
    <w:rsid w:val="00A755B8"/>
    <w:rsid w:val="00A82690"/>
    <w:rsid w:val="00A91917"/>
    <w:rsid w:val="00AC4B8E"/>
    <w:rsid w:val="00AD260D"/>
    <w:rsid w:val="00AD31BD"/>
    <w:rsid w:val="00AD7057"/>
    <w:rsid w:val="00AF52AE"/>
    <w:rsid w:val="00B03766"/>
    <w:rsid w:val="00B06C02"/>
    <w:rsid w:val="00B11FAB"/>
    <w:rsid w:val="00B43146"/>
    <w:rsid w:val="00B54843"/>
    <w:rsid w:val="00B665E1"/>
    <w:rsid w:val="00B8000C"/>
    <w:rsid w:val="00B86C6D"/>
    <w:rsid w:val="00B92BB7"/>
    <w:rsid w:val="00BA29E5"/>
    <w:rsid w:val="00BB1762"/>
    <w:rsid w:val="00BB1791"/>
    <w:rsid w:val="00BE6FC4"/>
    <w:rsid w:val="00C04E12"/>
    <w:rsid w:val="00C34E42"/>
    <w:rsid w:val="00C46D56"/>
    <w:rsid w:val="00C57DAD"/>
    <w:rsid w:val="00C602D6"/>
    <w:rsid w:val="00C607AC"/>
    <w:rsid w:val="00C71593"/>
    <w:rsid w:val="00C8088C"/>
    <w:rsid w:val="00C9177D"/>
    <w:rsid w:val="00CC4657"/>
    <w:rsid w:val="00D04685"/>
    <w:rsid w:val="00D10B24"/>
    <w:rsid w:val="00D13765"/>
    <w:rsid w:val="00D178DE"/>
    <w:rsid w:val="00D41F2A"/>
    <w:rsid w:val="00D45786"/>
    <w:rsid w:val="00D52286"/>
    <w:rsid w:val="00D62676"/>
    <w:rsid w:val="00D74259"/>
    <w:rsid w:val="00DA34DF"/>
    <w:rsid w:val="00DA4C4E"/>
    <w:rsid w:val="00DB5B9D"/>
    <w:rsid w:val="00DB63B5"/>
    <w:rsid w:val="00DC43A7"/>
    <w:rsid w:val="00DE0EEE"/>
    <w:rsid w:val="00DF3660"/>
    <w:rsid w:val="00DF5093"/>
    <w:rsid w:val="00E01EB1"/>
    <w:rsid w:val="00E02027"/>
    <w:rsid w:val="00E112BB"/>
    <w:rsid w:val="00E1530B"/>
    <w:rsid w:val="00E25727"/>
    <w:rsid w:val="00E41C82"/>
    <w:rsid w:val="00E45A50"/>
    <w:rsid w:val="00E51F6E"/>
    <w:rsid w:val="00E73D99"/>
    <w:rsid w:val="00E85A66"/>
    <w:rsid w:val="00E92A5E"/>
    <w:rsid w:val="00E95FED"/>
    <w:rsid w:val="00ED5301"/>
    <w:rsid w:val="00F25276"/>
    <w:rsid w:val="00F43CC6"/>
    <w:rsid w:val="00F52CFF"/>
    <w:rsid w:val="00F60FA1"/>
    <w:rsid w:val="00F82056"/>
    <w:rsid w:val="00F92E09"/>
    <w:rsid w:val="00FA5F61"/>
    <w:rsid w:val="00FB2ED4"/>
    <w:rsid w:val="00FB5875"/>
    <w:rsid w:val="00FC4EF6"/>
    <w:rsid w:val="00FD0CF7"/>
    <w:rsid w:val="00FE7153"/>
    <w:rsid w:val="00FF2619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649C1"/>
    <w:rPr>
      <w:color w:val="0000FF"/>
      <w:u w:val="single"/>
    </w:rPr>
  </w:style>
  <w:style w:type="paragraph" w:styleId="a6">
    <w:name w:val="Balloon Text"/>
    <w:basedOn w:val="a"/>
    <w:link w:val="a7"/>
    <w:rsid w:val="00BB17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B17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80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8088C"/>
    <w:rPr>
      <w:sz w:val="28"/>
    </w:rPr>
  </w:style>
  <w:style w:type="paragraph" w:styleId="aa">
    <w:name w:val="footer"/>
    <w:basedOn w:val="a"/>
    <w:link w:val="ab"/>
    <w:rsid w:val="00C80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8088C"/>
    <w:rPr>
      <w:sz w:val="28"/>
    </w:rPr>
  </w:style>
  <w:style w:type="paragraph" w:styleId="3">
    <w:name w:val="Body Text 3"/>
    <w:basedOn w:val="a"/>
    <w:link w:val="30"/>
    <w:rsid w:val="00396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64A6"/>
    <w:rPr>
      <w:sz w:val="16"/>
      <w:szCs w:val="16"/>
    </w:rPr>
  </w:style>
  <w:style w:type="paragraph" w:customStyle="1" w:styleId="10">
    <w:name w:val="Обычный1"/>
    <w:link w:val="Normal"/>
    <w:rsid w:val="003964A6"/>
    <w:pPr>
      <w:ind w:firstLine="720"/>
      <w:jc w:val="both"/>
    </w:pPr>
    <w:rPr>
      <w:sz w:val="28"/>
    </w:rPr>
  </w:style>
  <w:style w:type="character" w:customStyle="1" w:styleId="Normal">
    <w:name w:val="Normal Знак"/>
    <w:link w:val="10"/>
    <w:rsid w:val="003964A6"/>
    <w:rPr>
      <w:sz w:val="28"/>
    </w:rPr>
  </w:style>
  <w:style w:type="paragraph" w:styleId="ac">
    <w:name w:val="List Paragraph"/>
    <w:basedOn w:val="a"/>
    <w:uiPriority w:val="34"/>
    <w:qFormat/>
    <w:rsid w:val="0030616A"/>
    <w:pPr>
      <w:ind w:left="720"/>
      <w:contextualSpacing/>
    </w:pPr>
  </w:style>
  <w:style w:type="paragraph" w:styleId="ad">
    <w:name w:val="footnote text"/>
    <w:basedOn w:val="a"/>
    <w:link w:val="ae"/>
    <w:rsid w:val="00E41C82"/>
    <w:pPr>
      <w:widowControl w:val="0"/>
      <w:autoSpaceDE w:val="0"/>
      <w:autoSpaceDN w:val="0"/>
    </w:pPr>
    <w:rPr>
      <w:sz w:val="20"/>
    </w:rPr>
  </w:style>
  <w:style w:type="character" w:customStyle="1" w:styleId="ae">
    <w:name w:val="Текст сноски Знак"/>
    <w:basedOn w:val="a0"/>
    <w:link w:val="ad"/>
    <w:rsid w:val="00E41C82"/>
  </w:style>
  <w:style w:type="character" w:styleId="af">
    <w:name w:val="footnote reference"/>
    <w:rsid w:val="00E41C82"/>
    <w:rPr>
      <w:vertAlign w:val="superscript"/>
    </w:rPr>
  </w:style>
  <w:style w:type="paragraph" w:customStyle="1" w:styleId="Default">
    <w:name w:val="Default"/>
    <w:rsid w:val="00E41C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E02027"/>
    <w:pPr>
      <w:keepNext/>
      <w:autoSpaceDE w:val="0"/>
      <w:autoSpaceDN w:val="0"/>
      <w:jc w:val="both"/>
      <w:outlineLvl w:val="2"/>
    </w:pPr>
    <w:rPr>
      <w:b/>
      <w:bCs/>
      <w:szCs w:val="28"/>
    </w:rPr>
  </w:style>
  <w:style w:type="character" w:styleId="af0">
    <w:name w:val="annotation reference"/>
    <w:basedOn w:val="a0"/>
    <w:rsid w:val="00AD7057"/>
    <w:rPr>
      <w:sz w:val="16"/>
      <w:szCs w:val="16"/>
    </w:rPr>
  </w:style>
  <w:style w:type="paragraph" w:styleId="af1">
    <w:name w:val="annotation text"/>
    <w:basedOn w:val="a"/>
    <w:link w:val="af2"/>
    <w:rsid w:val="00AD7057"/>
    <w:rPr>
      <w:sz w:val="20"/>
    </w:rPr>
  </w:style>
  <w:style w:type="character" w:customStyle="1" w:styleId="af2">
    <w:name w:val="Текст примечания Знак"/>
    <w:basedOn w:val="a0"/>
    <w:link w:val="af1"/>
    <w:rsid w:val="00AD7057"/>
  </w:style>
  <w:style w:type="paragraph" w:styleId="af3">
    <w:name w:val="annotation subject"/>
    <w:basedOn w:val="af1"/>
    <w:next w:val="af1"/>
    <w:link w:val="af4"/>
    <w:rsid w:val="00AD7057"/>
    <w:rPr>
      <w:b/>
      <w:bCs/>
    </w:rPr>
  </w:style>
  <w:style w:type="character" w:customStyle="1" w:styleId="af4">
    <w:name w:val="Тема примечания Знак"/>
    <w:basedOn w:val="af2"/>
    <w:link w:val="af3"/>
    <w:rsid w:val="00AD7057"/>
    <w:rPr>
      <w:b/>
      <w:bCs/>
    </w:rPr>
  </w:style>
  <w:style w:type="paragraph" w:customStyle="1" w:styleId="ENGL2">
    <w:name w:val="ENG_L2"/>
    <w:basedOn w:val="a"/>
    <w:rsid w:val="00100AC2"/>
    <w:pPr>
      <w:numPr>
        <w:ilvl w:val="1"/>
        <w:numId w:val="7"/>
      </w:numPr>
      <w:tabs>
        <w:tab w:val="clear" w:pos="720"/>
      </w:tabs>
      <w:spacing w:after="200" w:line="276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ENGL1">
    <w:name w:val="ENG_L1"/>
    <w:basedOn w:val="a"/>
    <w:next w:val="ENGL2"/>
    <w:rsid w:val="00100AC2"/>
    <w:pPr>
      <w:numPr>
        <w:numId w:val="7"/>
      </w:numPr>
      <w:spacing w:before="120" w:after="120"/>
      <w:outlineLvl w:val="0"/>
    </w:pPr>
    <w:rPr>
      <w:rFonts w:eastAsia="SimSun"/>
      <w:b/>
      <w:caps/>
      <w:sz w:val="22"/>
      <w:lang w:eastAsia="en-US"/>
    </w:rPr>
  </w:style>
  <w:style w:type="paragraph" w:customStyle="1" w:styleId="ENGL3">
    <w:name w:val="ENG_L3"/>
    <w:basedOn w:val="ENGL2"/>
    <w:rsid w:val="00100AC2"/>
    <w:pPr>
      <w:numPr>
        <w:ilvl w:val="2"/>
      </w:numPr>
      <w:spacing w:before="120" w:after="120" w:line="240" w:lineRule="auto"/>
      <w:jc w:val="both"/>
      <w:outlineLvl w:val="2"/>
    </w:pPr>
    <w:rPr>
      <w:rFonts w:ascii="Times New Roman" w:eastAsia="SimSun" w:hAnsi="Times New Roman"/>
      <w:szCs w:val="20"/>
    </w:rPr>
  </w:style>
  <w:style w:type="paragraph" w:customStyle="1" w:styleId="ENGL4">
    <w:name w:val="ENG_L4"/>
    <w:basedOn w:val="ENGL3"/>
    <w:rsid w:val="00100AC2"/>
    <w:pPr>
      <w:numPr>
        <w:ilvl w:val="3"/>
      </w:numPr>
      <w:outlineLvl w:val="3"/>
    </w:pPr>
  </w:style>
  <w:style w:type="table" w:customStyle="1" w:styleId="11">
    <w:name w:val="Сетка таблицы1"/>
    <w:basedOn w:val="a1"/>
    <w:next w:val="a4"/>
    <w:rsid w:val="00A5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649C1"/>
    <w:rPr>
      <w:color w:val="0000FF"/>
      <w:u w:val="single"/>
    </w:rPr>
  </w:style>
  <w:style w:type="paragraph" w:styleId="a6">
    <w:name w:val="Balloon Text"/>
    <w:basedOn w:val="a"/>
    <w:link w:val="a7"/>
    <w:rsid w:val="00BB17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B17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80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8088C"/>
    <w:rPr>
      <w:sz w:val="28"/>
    </w:rPr>
  </w:style>
  <w:style w:type="paragraph" w:styleId="aa">
    <w:name w:val="footer"/>
    <w:basedOn w:val="a"/>
    <w:link w:val="ab"/>
    <w:rsid w:val="00C80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8088C"/>
    <w:rPr>
      <w:sz w:val="28"/>
    </w:rPr>
  </w:style>
  <w:style w:type="paragraph" w:styleId="3">
    <w:name w:val="Body Text 3"/>
    <w:basedOn w:val="a"/>
    <w:link w:val="30"/>
    <w:rsid w:val="00396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64A6"/>
    <w:rPr>
      <w:sz w:val="16"/>
      <w:szCs w:val="16"/>
    </w:rPr>
  </w:style>
  <w:style w:type="paragraph" w:customStyle="1" w:styleId="10">
    <w:name w:val="Обычный1"/>
    <w:link w:val="Normal"/>
    <w:rsid w:val="003964A6"/>
    <w:pPr>
      <w:ind w:firstLine="720"/>
      <w:jc w:val="both"/>
    </w:pPr>
    <w:rPr>
      <w:sz w:val="28"/>
    </w:rPr>
  </w:style>
  <w:style w:type="character" w:customStyle="1" w:styleId="Normal">
    <w:name w:val="Normal Знак"/>
    <w:link w:val="10"/>
    <w:rsid w:val="003964A6"/>
    <w:rPr>
      <w:sz w:val="28"/>
    </w:rPr>
  </w:style>
  <w:style w:type="paragraph" w:styleId="ac">
    <w:name w:val="List Paragraph"/>
    <w:basedOn w:val="a"/>
    <w:uiPriority w:val="34"/>
    <w:qFormat/>
    <w:rsid w:val="0030616A"/>
    <w:pPr>
      <w:ind w:left="720"/>
      <w:contextualSpacing/>
    </w:pPr>
  </w:style>
  <w:style w:type="paragraph" w:styleId="ad">
    <w:name w:val="footnote text"/>
    <w:basedOn w:val="a"/>
    <w:link w:val="ae"/>
    <w:rsid w:val="00E41C82"/>
    <w:pPr>
      <w:widowControl w:val="0"/>
      <w:autoSpaceDE w:val="0"/>
      <w:autoSpaceDN w:val="0"/>
    </w:pPr>
    <w:rPr>
      <w:sz w:val="20"/>
    </w:rPr>
  </w:style>
  <w:style w:type="character" w:customStyle="1" w:styleId="ae">
    <w:name w:val="Текст сноски Знак"/>
    <w:basedOn w:val="a0"/>
    <w:link w:val="ad"/>
    <w:rsid w:val="00E41C82"/>
  </w:style>
  <w:style w:type="character" w:styleId="af">
    <w:name w:val="footnote reference"/>
    <w:rsid w:val="00E41C82"/>
    <w:rPr>
      <w:vertAlign w:val="superscript"/>
    </w:rPr>
  </w:style>
  <w:style w:type="paragraph" w:customStyle="1" w:styleId="Default">
    <w:name w:val="Default"/>
    <w:rsid w:val="00E41C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E02027"/>
    <w:pPr>
      <w:keepNext/>
      <w:autoSpaceDE w:val="0"/>
      <w:autoSpaceDN w:val="0"/>
      <w:jc w:val="both"/>
      <w:outlineLvl w:val="2"/>
    </w:pPr>
    <w:rPr>
      <w:b/>
      <w:bCs/>
      <w:szCs w:val="28"/>
    </w:rPr>
  </w:style>
  <w:style w:type="character" w:styleId="af0">
    <w:name w:val="annotation reference"/>
    <w:basedOn w:val="a0"/>
    <w:rsid w:val="00AD7057"/>
    <w:rPr>
      <w:sz w:val="16"/>
      <w:szCs w:val="16"/>
    </w:rPr>
  </w:style>
  <w:style w:type="paragraph" w:styleId="af1">
    <w:name w:val="annotation text"/>
    <w:basedOn w:val="a"/>
    <w:link w:val="af2"/>
    <w:rsid w:val="00AD7057"/>
    <w:rPr>
      <w:sz w:val="20"/>
    </w:rPr>
  </w:style>
  <w:style w:type="character" w:customStyle="1" w:styleId="af2">
    <w:name w:val="Текст примечания Знак"/>
    <w:basedOn w:val="a0"/>
    <w:link w:val="af1"/>
    <w:rsid w:val="00AD7057"/>
  </w:style>
  <w:style w:type="paragraph" w:styleId="af3">
    <w:name w:val="annotation subject"/>
    <w:basedOn w:val="af1"/>
    <w:next w:val="af1"/>
    <w:link w:val="af4"/>
    <w:rsid w:val="00AD7057"/>
    <w:rPr>
      <w:b/>
      <w:bCs/>
    </w:rPr>
  </w:style>
  <w:style w:type="character" w:customStyle="1" w:styleId="af4">
    <w:name w:val="Тема примечания Знак"/>
    <w:basedOn w:val="af2"/>
    <w:link w:val="af3"/>
    <w:rsid w:val="00AD7057"/>
    <w:rPr>
      <w:b/>
      <w:bCs/>
    </w:rPr>
  </w:style>
  <w:style w:type="paragraph" w:customStyle="1" w:styleId="ENGL2">
    <w:name w:val="ENG_L2"/>
    <w:basedOn w:val="a"/>
    <w:rsid w:val="00100AC2"/>
    <w:pPr>
      <w:numPr>
        <w:ilvl w:val="1"/>
        <w:numId w:val="7"/>
      </w:numPr>
      <w:tabs>
        <w:tab w:val="clear" w:pos="720"/>
      </w:tabs>
      <w:spacing w:after="200" w:line="276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ENGL1">
    <w:name w:val="ENG_L1"/>
    <w:basedOn w:val="a"/>
    <w:next w:val="ENGL2"/>
    <w:rsid w:val="00100AC2"/>
    <w:pPr>
      <w:numPr>
        <w:numId w:val="7"/>
      </w:numPr>
      <w:spacing w:before="120" w:after="120"/>
      <w:outlineLvl w:val="0"/>
    </w:pPr>
    <w:rPr>
      <w:rFonts w:eastAsia="SimSun"/>
      <w:b/>
      <w:caps/>
      <w:sz w:val="22"/>
      <w:lang w:eastAsia="en-US"/>
    </w:rPr>
  </w:style>
  <w:style w:type="paragraph" w:customStyle="1" w:styleId="ENGL3">
    <w:name w:val="ENG_L3"/>
    <w:basedOn w:val="ENGL2"/>
    <w:rsid w:val="00100AC2"/>
    <w:pPr>
      <w:numPr>
        <w:ilvl w:val="2"/>
      </w:numPr>
      <w:spacing w:before="120" w:after="120" w:line="240" w:lineRule="auto"/>
      <w:jc w:val="both"/>
      <w:outlineLvl w:val="2"/>
    </w:pPr>
    <w:rPr>
      <w:rFonts w:ascii="Times New Roman" w:eastAsia="SimSun" w:hAnsi="Times New Roman"/>
      <w:szCs w:val="20"/>
    </w:rPr>
  </w:style>
  <w:style w:type="paragraph" w:customStyle="1" w:styleId="ENGL4">
    <w:name w:val="ENG_L4"/>
    <w:basedOn w:val="ENGL3"/>
    <w:rsid w:val="00100AC2"/>
    <w:pPr>
      <w:numPr>
        <w:ilvl w:val="3"/>
      </w:numPr>
      <w:outlineLvl w:val="3"/>
    </w:pPr>
  </w:style>
  <w:style w:type="table" w:customStyle="1" w:styleId="11">
    <w:name w:val="Сетка таблицы1"/>
    <w:basedOn w:val="a1"/>
    <w:next w:val="a4"/>
    <w:rsid w:val="00A5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886C-AA8D-4C97-9447-880BB261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Техническое задание </vt:lpstr>
      <vt:lpstr/>
      <vt:lpstr>Содержание оказываемых услуг </vt:lpstr>
    </vt:vector>
  </TitlesOfParts>
  <Company>PeroPlus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EraginaAA</cp:lastModifiedBy>
  <cp:revision>3</cp:revision>
  <cp:lastPrinted>2017-02-03T10:18:00Z</cp:lastPrinted>
  <dcterms:created xsi:type="dcterms:W3CDTF">2017-02-03T10:37:00Z</dcterms:created>
  <dcterms:modified xsi:type="dcterms:W3CDTF">2017-02-03T10:37:00Z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