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7738CA" w:rsidRDefault="007738CA" w:rsidP="007738CA">
      <w:pPr>
        <w:pStyle w:val="26"/>
        <w:tabs>
          <w:tab w:val="left" w:pos="708"/>
        </w:tabs>
        <w:spacing w:after="0"/>
        <w:ind w:left="720"/>
      </w:pPr>
    </w:p>
    <w:p w:rsidR="00106D5B" w:rsidRPr="00106D5B" w:rsidRDefault="00106D5B" w:rsidP="003F3018">
      <w:pPr>
        <w:pStyle w:val="ad"/>
        <w:numPr>
          <w:ilvl w:val="0"/>
          <w:numId w:val="8"/>
        </w:numPr>
        <w:jc w:val="both"/>
        <w:rPr>
          <w:vanish/>
        </w:rPr>
      </w:pPr>
    </w:p>
    <w:p w:rsidR="007738CA" w:rsidRPr="0000406F" w:rsidRDefault="007738CA" w:rsidP="003F3018">
      <w:pPr>
        <w:numPr>
          <w:ilvl w:val="0"/>
          <w:numId w:val="8"/>
        </w:numPr>
        <w:jc w:val="both"/>
        <w:rPr>
          <w:color w:val="000000"/>
          <w:sz w:val="23"/>
          <w:szCs w:val="23"/>
        </w:rPr>
      </w:pPr>
      <w:r w:rsidRPr="00307741">
        <w:t xml:space="preserve">Подведение итогов </w:t>
      </w:r>
      <w:r>
        <w:t>з</w:t>
      </w:r>
      <w:r>
        <w:rPr>
          <w:szCs w:val="28"/>
        </w:rPr>
        <w:t xml:space="preserve">апроса предложений </w:t>
      </w:r>
      <w:r w:rsidRPr="0000406F">
        <w:rPr>
          <w:szCs w:val="28"/>
        </w:rPr>
        <w:t>на право заключения договор</w:t>
      </w:r>
      <w:r>
        <w:rPr>
          <w:szCs w:val="28"/>
        </w:rPr>
        <w:t xml:space="preserve">а </w:t>
      </w:r>
      <w:r w:rsidRPr="003D5962">
        <w:rPr>
          <w:szCs w:val="28"/>
        </w:rPr>
        <w:t>на поставку программных средств контроля действий администраторов в информационных системах ОАО «ТрансКонтейнер»</w:t>
      </w:r>
      <w:r w:rsidRPr="00FA2ABA">
        <w:t>.</w:t>
      </w:r>
    </w:p>
    <w:p w:rsidR="007738CA" w:rsidRDefault="007738CA" w:rsidP="007738CA">
      <w:pPr>
        <w:ind w:left="720"/>
        <w:jc w:val="both"/>
      </w:pPr>
      <w:r>
        <w:t xml:space="preserve">Докладчик: </w:t>
      </w:r>
      <w:proofErr w:type="spellStart"/>
      <w:r>
        <w:t>ЦКПБЗи</w:t>
      </w:r>
      <w:proofErr w:type="spellEnd"/>
      <w:r>
        <w:t xml:space="preserve"> Голенев А.И.</w:t>
      </w:r>
    </w:p>
    <w:p w:rsidR="007738CA" w:rsidRDefault="007738CA" w:rsidP="007738CA">
      <w:pPr>
        <w:ind w:left="720"/>
        <w:jc w:val="both"/>
      </w:pPr>
      <w:r>
        <w:t xml:space="preserve">Заявки в АСБК: </w:t>
      </w:r>
      <w:r w:rsidRPr="00B97A58">
        <w:t>Т10047005</w:t>
      </w:r>
    </w:p>
    <w:p w:rsidR="007738CA" w:rsidRDefault="007738CA" w:rsidP="007738CA">
      <w:pPr>
        <w:ind w:left="720"/>
        <w:jc w:val="both"/>
        <w:rPr>
          <w:szCs w:val="28"/>
        </w:rPr>
      </w:pPr>
      <w:r>
        <w:t xml:space="preserve">Конкурс: </w:t>
      </w:r>
      <w:r w:rsidRPr="00A0467C">
        <w:rPr>
          <w:szCs w:val="28"/>
        </w:rPr>
        <w:t>ЗП/002/ЦКПБЗ/0017</w:t>
      </w:r>
    </w:p>
    <w:p w:rsidR="007738CA" w:rsidRPr="007738CA" w:rsidRDefault="007738CA" w:rsidP="007738CA">
      <w:pPr>
        <w:pStyle w:val="26"/>
        <w:tabs>
          <w:tab w:val="left" w:pos="708"/>
        </w:tabs>
        <w:spacing w:after="0"/>
        <w:ind w:left="720"/>
        <w:rPr>
          <w:sz w:val="28"/>
          <w:szCs w:val="28"/>
        </w:rPr>
      </w:pPr>
    </w:p>
    <w:p w:rsidR="001A345E" w:rsidRPr="00CA2E17" w:rsidRDefault="00106D5B" w:rsidP="00106D5B">
      <w:pPr>
        <w:pStyle w:val="13"/>
        <w:tabs>
          <w:tab w:val="left" w:pos="567"/>
        </w:tabs>
        <w:suppressAutoHyphens/>
        <w:ind w:left="360" w:firstLine="0"/>
        <w:rPr>
          <w:szCs w:val="28"/>
        </w:rPr>
      </w:pPr>
      <w:r>
        <w:rPr>
          <w:szCs w:val="28"/>
          <w:lang w:val="en-US"/>
        </w:rPr>
        <w:tab/>
      </w:r>
      <w:r w:rsidR="007738CA" w:rsidRPr="007738CA">
        <w:rPr>
          <w:szCs w:val="28"/>
        </w:rPr>
        <w:t xml:space="preserve">  </w:t>
      </w:r>
      <w:r>
        <w:rPr>
          <w:szCs w:val="28"/>
          <w:lang w:val="en-US"/>
        </w:rPr>
        <w:t>….</w:t>
      </w:r>
    </w:p>
    <w:p w:rsidR="00E749C2" w:rsidRDefault="00E749C2" w:rsidP="00E749C2">
      <w:pPr>
        <w:pStyle w:val="ad"/>
        <w:ind w:left="709"/>
        <w:jc w:val="both"/>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1A345E" w:rsidRDefault="001A345E" w:rsidP="00A4025C">
      <w:pPr>
        <w:pStyle w:val="ad"/>
        <w:ind w:left="0" w:firstLine="709"/>
        <w:jc w:val="both"/>
        <w:rPr>
          <w:b/>
          <w:szCs w:val="28"/>
        </w:rPr>
      </w:pPr>
    </w:p>
    <w:p w:rsidR="001A345E" w:rsidRPr="00287961" w:rsidRDefault="001A345E" w:rsidP="003F3018">
      <w:pPr>
        <w:pStyle w:val="ad"/>
        <w:numPr>
          <w:ilvl w:val="0"/>
          <w:numId w:val="10"/>
        </w:numPr>
        <w:ind w:left="0" w:firstLine="709"/>
        <w:jc w:val="both"/>
        <w:rPr>
          <w:szCs w:val="28"/>
        </w:rPr>
      </w:pPr>
      <w:r w:rsidRPr="00287961">
        <w:rPr>
          <w:szCs w:val="28"/>
        </w:rPr>
        <w:t xml:space="preserve">Запрос предложений ЗП/002/ЦКПБЗ/0017 </w:t>
      </w:r>
      <w:r w:rsidR="00287961">
        <w:rPr>
          <w:szCs w:val="28"/>
        </w:rPr>
        <w:t xml:space="preserve">на право заключения </w:t>
      </w:r>
      <w:r w:rsidRPr="00287961">
        <w:rPr>
          <w:szCs w:val="28"/>
        </w:rPr>
        <w:t xml:space="preserve">договора на поставку программных средств контроля действий администраторов в информационных системах ОАО «ТрансКонтейнер» </w:t>
      </w:r>
      <w:r w:rsidRPr="00287961">
        <w:rPr>
          <w:szCs w:val="28"/>
        </w:rPr>
        <w:lastRenderedPageBreak/>
        <w:t xml:space="preserve">признан несостоявшимся на основании  </w:t>
      </w:r>
      <w:r w:rsidRPr="00FE2784">
        <w:t>подпункта 2 пункта 2.9.11. документации о закупке (на участие в конкурсе подана одна Заявка)</w:t>
      </w:r>
      <w:r>
        <w:t>.</w:t>
      </w:r>
    </w:p>
    <w:p w:rsidR="001A345E" w:rsidRPr="001A345E" w:rsidRDefault="001A345E" w:rsidP="003F3018">
      <w:pPr>
        <w:pStyle w:val="ad"/>
        <w:numPr>
          <w:ilvl w:val="0"/>
          <w:numId w:val="10"/>
        </w:numPr>
        <w:shd w:val="clear" w:color="auto" w:fill="FFFFFF"/>
        <w:spacing w:line="245" w:lineRule="auto"/>
        <w:ind w:left="0" w:firstLine="709"/>
        <w:jc w:val="both"/>
        <w:rPr>
          <w:szCs w:val="28"/>
        </w:rPr>
      </w:pPr>
      <w:r w:rsidRPr="006D2D39">
        <w:rPr>
          <w:snapToGrid w:val="0"/>
          <w:szCs w:val="28"/>
        </w:rPr>
        <w:t xml:space="preserve"> </w:t>
      </w:r>
      <w:r w:rsidRPr="006D2D39">
        <w:rPr>
          <w:szCs w:val="28"/>
        </w:rPr>
        <w:t>Согласиться с выводами и предложениями Постоянной рабочей группы Конкурсной</w:t>
      </w:r>
      <w:r w:rsidR="003C2F7E">
        <w:rPr>
          <w:szCs w:val="28"/>
        </w:rPr>
        <w:t xml:space="preserve"> комиссии</w:t>
      </w:r>
      <w:r w:rsidRPr="006D2D39">
        <w:rPr>
          <w:szCs w:val="28"/>
        </w:rPr>
        <w:t xml:space="preserve"> </w:t>
      </w:r>
      <w:r>
        <w:rPr>
          <w:szCs w:val="28"/>
        </w:rPr>
        <w:t>аппарата управления</w:t>
      </w:r>
      <w:r w:rsidRPr="004A00E3">
        <w:rPr>
          <w:szCs w:val="28"/>
        </w:rPr>
        <w:t xml:space="preserve"> (Протокол № </w:t>
      </w:r>
      <w:r>
        <w:rPr>
          <w:szCs w:val="28"/>
        </w:rPr>
        <w:t>38</w:t>
      </w:r>
      <w:r w:rsidRPr="004A00E3">
        <w:rPr>
          <w:szCs w:val="28"/>
        </w:rPr>
        <w:t xml:space="preserve">/ПРГ заседания, состоявшегося </w:t>
      </w:r>
      <w:r>
        <w:rPr>
          <w:szCs w:val="28"/>
        </w:rPr>
        <w:t>23 апреля</w:t>
      </w:r>
      <w:r w:rsidRPr="004A00E3">
        <w:rPr>
          <w:szCs w:val="28"/>
        </w:rPr>
        <w:t xml:space="preserve"> 2014 г.) в части принятия решения допустить к участию в </w:t>
      </w:r>
      <w:r>
        <w:rPr>
          <w:szCs w:val="28"/>
        </w:rPr>
        <w:t xml:space="preserve">запросе предложений </w:t>
      </w:r>
      <w:r w:rsidRPr="001A345E">
        <w:rPr>
          <w:szCs w:val="28"/>
        </w:rPr>
        <w:t>ЗАО «</w:t>
      </w:r>
      <w:proofErr w:type="spellStart"/>
      <w:r w:rsidRPr="001A345E">
        <w:rPr>
          <w:szCs w:val="28"/>
        </w:rPr>
        <w:t>Инфозащита</w:t>
      </w:r>
      <w:proofErr w:type="spellEnd"/>
      <w:r>
        <w:rPr>
          <w:szCs w:val="28"/>
        </w:rPr>
        <w:t>»</w:t>
      </w:r>
      <w:r w:rsidRPr="001A345E">
        <w:rPr>
          <w:szCs w:val="28"/>
        </w:rPr>
        <w:t>.</w:t>
      </w:r>
    </w:p>
    <w:p w:rsidR="001A345E" w:rsidRPr="006A28CB" w:rsidRDefault="00E272A6" w:rsidP="003F3018">
      <w:pPr>
        <w:pStyle w:val="ad"/>
        <w:numPr>
          <w:ilvl w:val="0"/>
          <w:numId w:val="10"/>
        </w:numPr>
        <w:ind w:left="0" w:firstLine="709"/>
        <w:jc w:val="both"/>
      </w:pPr>
      <w:proofErr w:type="gramStart"/>
      <w:r>
        <w:rPr>
          <w:szCs w:val="28"/>
        </w:rPr>
        <w:t>Согласившись</w:t>
      </w:r>
      <w:r w:rsidR="001A345E" w:rsidRPr="004A00E3">
        <w:rPr>
          <w:szCs w:val="28"/>
        </w:rPr>
        <w:t xml:space="preserve"> с выводами и предложениями Постоянной рабочей группы Конкурсной комиссии </w:t>
      </w:r>
      <w:r w:rsidR="001A345E">
        <w:rPr>
          <w:szCs w:val="28"/>
        </w:rPr>
        <w:t>аппарата управления</w:t>
      </w:r>
      <w:r w:rsidR="001A345E" w:rsidRPr="00CF7929">
        <w:rPr>
          <w:szCs w:val="28"/>
        </w:rPr>
        <w:t xml:space="preserve"> (</w:t>
      </w:r>
      <w:r w:rsidR="001A345E" w:rsidRPr="004A00E3">
        <w:rPr>
          <w:szCs w:val="28"/>
        </w:rPr>
        <w:t xml:space="preserve">Протокол № </w:t>
      </w:r>
      <w:r w:rsidR="001A345E">
        <w:rPr>
          <w:szCs w:val="28"/>
        </w:rPr>
        <w:t>38</w:t>
      </w:r>
      <w:r w:rsidR="001A345E" w:rsidRPr="004A00E3">
        <w:rPr>
          <w:szCs w:val="28"/>
        </w:rPr>
        <w:t xml:space="preserve">/ПРГ заседания, состоявшегося </w:t>
      </w:r>
      <w:r w:rsidR="001A345E">
        <w:rPr>
          <w:szCs w:val="28"/>
        </w:rPr>
        <w:t>23 апреля</w:t>
      </w:r>
      <w:r w:rsidR="001A345E" w:rsidRPr="00CF7929">
        <w:rPr>
          <w:szCs w:val="28"/>
        </w:rPr>
        <w:t xml:space="preserve"> 2014 г.) и в соответствии с пунктом 141 и подпунктом 4 пункта 318 Положения о закупках</w:t>
      </w:r>
      <w:r>
        <w:rPr>
          <w:szCs w:val="28"/>
        </w:rPr>
        <w:t>,</w:t>
      </w:r>
      <w:r w:rsidR="001A345E" w:rsidRPr="00CF7929">
        <w:rPr>
          <w:szCs w:val="28"/>
        </w:rPr>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на следующих условиях:</w:t>
      </w:r>
      <w:proofErr w:type="gramEnd"/>
    </w:p>
    <w:p w:rsidR="00224386" w:rsidRPr="00224386" w:rsidRDefault="00224386" w:rsidP="00224386">
      <w:pPr>
        <w:ind w:firstLine="708"/>
        <w:jc w:val="both"/>
        <w:rPr>
          <w:bCs/>
          <w:szCs w:val="28"/>
        </w:rPr>
      </w:pPr>
      <w:r w:rsidRPr="00224386">
        <w:rPr>
          <w:b/>
          <w:bCs/>
          <w:szCs w:val="28"/>
        </w:rPr>
        <w:t>Предмет договора:</w:t>
      </w:r>
      <w:r w:rsidRPr="00224386">
        <w:rPr>
          <w:bCs/>
          <w:szCs w:val="28"/>
        </w:rPr>
        <w:t xml:space="preserve"> П</w:t>
      </w:r>
      <w:r w:rsidRPr="00224386">
        <w:rPr>
          <w:szCs w:val="28"/>
        </w:rPr>
        <w:t>оставка программных средств контроля действий администраторов в информационных системах ОАО «ТрансКонтейнер» с предоставлением права на использование указанного программного обеспечения, а также осуществление технической поддержки программного обеспечения.</w:t>
      </w:r>
    </w:p>
    <w:p w:rsidR="00224386" w:rsidRPr="00224386" w:rsidRDefault="00224386" w:rsidP="00224386">
      <w:pPr>
        <w:ind w:firstLine="708"/>
        <w:jc w:val="both"/>
        <w:rPr>
          <w:bCs/>
          <w:szCs w:val="28"/>
        </w:rPr>
      </w:pPr>
      <w:r w:rsidRPr="00224386">
        <w:rPr>
          <w:b/>
          <w:bCs/>
          <w:szCs w:val="28"/>
        </w:rPr>
        <w:t>Цена договора:</w:t>
      </w:r>
      <w:r w:rsidRPr="00224386">
        <w:rPr>
          <w:bCs/>
          <w:szCs w:val="28"/>
        </w:rPr>
        <w:t xml:space="preserve"> </w:t>
      </w:r>
      <w:r w:rsidRPr="00224386">
        <w:rPr>
          <w:color w:val="000000" w:themeColor="text1"/>
          <w:szCs w:val="28"/>
        </w:rPr>
        <w:t xml:space="preserve">3 600 272,08 </w:t>
      </w:r>
      <w:r w:rsidRPr="00224386">
        <w:rPr>
          <w:bCs/>
          <w:szCs w:val="28"/>
        </w:rPr>
        <w:t>(Три миллиона шестьсот тысяч двести семьдесят два) рубля 08 копеек без учета НДС, в том числе:</w:t>
      </w:r>
    </w:p>
    <w:p w:rsidR="00224386" w:rsidRPr="00224386" w:rsidRDefault="00224386" w:rsidP="00E272A6">
      <w:pPr>
        <w:ind w:firstLine="708"/>
        <w:jc w:val="both"/>
        <w:rPr>
          <w:bCs/>
          <w:szCs w:val="28"/>
        </w:rPr>
      </w:pPr>
      <w:r w:rsidRPr="00224386">
        <w:rPr>
          <w:bCs/>
          <w:szCs w:val="28"/>
        </w:rPr>
        <w:t>- вознаграждение за предоставление простых неисключительных лицензий - 3 051 078,04 (Три миллиона пятьдесят одна тысяча семьдесят восемь) рублей 04 копейки, НДС не облагается;</w:t>
      </w:r>
    </w:p>
    <w:p w:rsidR="00224386" w:rsidRPr="00224386" w:rsidRDefault="00224386" w:rsidP="00E272A6">
      <w:pPr>
        <w:ind w:firstLine="708"/>
        <w:jc w:val="both"/>
        <w:rPr>
          <w:bCs/>
          <w:szCs w:val="28"/>
        </w:rPr>
      </w:pPr>
      <w:r w:rsidRPr="00224386">
        <w:rPr>
          <w:bCs/>
          <w:szCs w:val="28"/>
        </w:rPr>
        <w:t>- техническая поддержка программного обеспечения - 549 194,04 (Пятьсот сорок девять тысяч сто девяносто четыре) рубля 04 копейки без учета НДС, НДС по ставке 18% в сумме 98 854,93 (Девяносто восемь тысяч восемьсот пятьдесят четыре) рубля 93 копейки начисляется отдельно.</w:t>
      </w:r>
    </w:p>
    <w:p w:rsidR="00224386" w:rsidRPr="00224386" w:rsidRDefault="00224386" w:rsidP="00224386">
      <w:pPr>
        <w:ind w:firstLine="708"/>
        <w:jc w:val="both"/>
        <w:rPr>
          <w:b/>
          <w:bCs/>
          <w:szCs w:val="28"/>
        </w:rPr>
      </w:pPr>
      <w:r w:rsidRPr="00224386">
        <w:rPr>
          <w:b/>
          <w:bCs/>
          <w:szCs w:val="28"/>
        </w:rPr>
        <w:t>Место передачи прав:</w:t>
      </w:r>
      <w:r w:rsidRPr="00224386">
        <w:rPr>
          <w:bCs/>
          <w:szCs w:val="28"/>
        </w:rPr>
        <w:t xml:space="preserve"> Российская Федерация,  125047,  Москва,  Оружейный переулок, д. 19.</w:t>
      </w:r>
    </w:p>
    <w:p w:rsidR="00224386" w:rsidRPr="00224386" w:rsidRDefault="00224386" w:rsidP="00224386">
      <w:pPr>
        <w:ind w:firstLine="708"/>
        <w:jc w:val="both"/>
        <w:rPr>
          <w:bCs/>
          <w:szCs w:val="28"/>
        </w:rPr>
      </w:pPr>
      <w:r w:rsidRPr="00224386">
        <w:rPr>
          <w:b/>
          <w:bCs/>
          <w:szCs w:val="28"/>
        </w:rPr>
        <w:t>Условия оплаты:</w:t>
      </w:r>
      <w:r w:rsidRPr="00224386">
        <w:rPr>
          <w:bCs/>
          <w:szCs w:val="28"/>
        </w:rPr>
        <w:t xml:space="preserve"> в течение  20 календарных дней, </w:t>
      </w:r>
      <w:proofErr w:type="gramStart"/>
      <w:r w:rsidRPr="00224386">
        <w:rPr>
          <w:bCs/>
          <w:szCs w:val="28"/>
        </w:rPr>
        <w:t>с даты подписания</w:t>
      </w:r>
      <w:proofErr w:type="gramEnd"/>
      <w:r w:rsidRPr="00224386">
        <w:rPr>
          <w:bCs/>
          <w:szCs w:val="28"/>
        </w:rPr>
        <w:t xml:space="preserve"> акта приема-передачи  на основании счета Исполнителя.</w:t>
      </w:r>
    </w:p>
    <w:p w:rsidR="00224386" w:rsidRPr="00224386" w:rsidRDefault="00224386" w:rsidP="00224386">
      <w:pPr>
        <w:ind w:firstLine="708"/>
        <w:jc w:val="both"/>
        <w:rPr>
          <w:bCs/>
          <w:szCs w:val="28"/>
        </w:rPr>
      </w:pPr>
      <w:r w:rsidRPr="00224386">
        <w:rPr>
          <w:b/>
          <w:bCs/>
          <w:szCs w:val="28"/>
        </w:rPr>
        <w:t xml:space="preserve">Срок передачи прав: </w:t>
      </w:r>
      <w:r w:rsidRPr="00224386">
        <w:rPr>
          <w:bCs/>
          <w:szCs w:val="28"/>
        </w:rPr>
        <w:t xml:space="preserve">14  рабочих дней, </w:t>
      </w:r>
      <w:proofErr w:type="gramStart"/>
      <w:r w:rsidRPr="00224386">
        <w:rPr>
          <w:bCs/>
          <w:szCs w:val="28"/>
        </w:rPr>
        <w:t>с даты подписания</w:t>
      </w:r>
      <w:proofErr w:type="gramEnd"/>
      <w:r w:rsidRPr="00224386">
        <w:rPr>
          <w:bCs/>
          <w:szCs w:val="28"/>
        </w:rPr>
        <w:t xml:space="preserve"> договора.</w:t>
      </w:r>
    </w:p>
    <w:p w:rsidR="00224386" w:rsidRPr="00224386" w:rsidRDefault="00224386" w:rsidP="00224386">
      <w:pPr>
        <w:ind w:firstLine="708"/>
        <w:jc w:val="both"/>
        <w:rPr>
          <w:bCs/>
          <w:szCs w:val="28"/>
        </w:rPr>
      </w:pPr>
      <w:r w:rsidRPr="00224386">
        <w:rPr>
          <w:b/>
          <w:bCs/>
          <w:szCs w:val="28"/>
        </w:rPr>
        <w:t>Срок действия права:</w:t>
      </w:r>
      <w:r w:rsidRPr="00224386">
        <w:rPr>
          <w:bCs/>
          <w:szCs w:val="28"/>
        </w:rPr>
        <w:t xml:space="preserve"> бессрочно.</w:t>
      </w:r>
    </w:p>
    <w:p w:rsidR="00224386" w:rsidRPr="00224386" w:rsidRDefault="00224386" w:rsidP="00224386">
      <w:pPr>
        <w:ind w:firstLine="708"/>
        <w:jc w:val="both"/>
        <w:rPr>
          <w:bCs/>
          <w:szCs w:val="28"/>
        </w:rPr>
      </w:pPr>
      <w:r w:rsidRPr="00224386">
        <w:rPr>
          <w:b/>
          <w:bCs/>
          <w:szCs w:val="28"/>
        </w:rPr>
        <w:t>Срок оказания услуги технической поддержки:</w:t>
      </w:r>
      <w:r w:rsidRPr="00224386">
        <w:rPr>
          <w:bCs/>
          <w:szCs w:val="28"/>
        </w:rPr>
        <w:t xml:space="preserve"> 1 (Один) год </w:t>
      </w:r>
      <w:proofErr w:type="gramStart"/>
      <w:r w:rsidRPr="00224386">
        <w:rPr>
          <w:bCs/>
          <w:szCs w:val="28"/>
        </w:rPr>
        <w:t>с даты подписания</w:t>
      </w:r>
      <w:proofErr w:type="gramEnd"/>
      <w:r w:rsidRPr="00224386">
        <w:rPr>
          <w:bCs/>
          <w:szCs w:val="28"/>
        </w:rPr>
        <w:t xml:space="preserve"> акта приема-передачи.</w:t>
      </w:r>
    </w:p>
    <w:p w:rsidR="001A345E" w:rsidRPr="00224386" w:rsidRDefault="00224386" w:rsidP="00224386">
      <w:pPr>
        <w:ind w:firstLine="708"/>
        <w:jc w:val="both"/>
        <w:rPr>
          <w:bCs/>
          <w:szCs w:val="28"/>
        </w:rPr>
      </w:pPr>
      <w:r w:rsidRPr="00224386">
        <w:rPr>
          <w:b/>
          <w:bCs/>
          <w:szCs w:val="28"/>
        </w:rPr>
        <w:t>Срок действия договора:</w:t>
      </w:r>
      <w:r w:rsidRPr="00224386">
        <w:rPr>
          <w:bCs/>
          <w:szCs w:val="28"/>
        </w:rPr>
        <w:t xml:space="preserve"> договор вступает в силу </w:t>
      </w:r>
      <w:proofErr w:type="gramStart"/>
      <w:r w:rsidRPr="00224386">
        <w:rPr>
          <w:bCs/>
          <w:szCs w:val="28"/>
        </w:rPr>
        <w:t>с даты подписания</w:t>
      </w:r>
      <w:proofErr w:type="gramEnd"/>
      <w:r w:rsidRPr="00224386">
        <w:rPr>
          <w:bCs/>
          <w:szCs w:val="28"/>
        </w:rPr>
        <w:t xml:space="preserve"> его  сторонами и действует до полного исполнения сторонами своих обязательств.</w:t>
      </w:r>
    </w:p>
    <w:p w:rsidR="001A345E" w:rsidRPr="003C2F7E" w:rsidRDefault="003C2F7E" w:rsidP="003F3018">
      <w:pPr>
        <w:pStyle w:val="ad"/>
        <w:numPr>
          <w:ilvl w:val="0"/>
          <w:numId w:val="10"/>
        </w:numPr>
        <w:ind w:left="0" w:firstLine="709"/>
        <w:jc w:val="both"/>
        <w:rPr>
          <w:szCs w:val="28"/>
        </w:rPr>
      </w:pPr>
      <w:r>
        <w:rPr>
          <w:bCs/>
          <w:szCs w:val="28"/>
        </w:rPr>
        <w:t>Поручить н</w:t>
      </w:r>
      <w:r w:rsidRPr="003C2F7E">
        <w:rPr>
          <w:bCs/>
          <w:szCs w:val="28"/>
        </w:rPr>
        <w:t xml:space="preserve">ачальнику отдела информационной безопасности </w:t>
      </w:r>
      <w:r>
        <w:rPr>
          <w:szCs w:val="28"/>
        </w:rPr>
        <w:t>(</w:t>
      </w:r>
      <w:proofErr w:type="spellStart"/>
      <w:r>
        <w:rPr>
          <w:szCs w:val="28"/>
        </w:rPr>
        <w:t>ЦКПБЗи</w:t>
      </w:r>
      <w:proofErr w:type="spellEnd"/>
      <w:r>
        <w:rPr>
          <w:szCs w:val="28"/>
        </w:rPr>
        <w:t xml:space="preserve">) </w:t>
      </w:r>
      <w:proofErr w:type="spellStart"/>
      <w:r w:rsidRPr="003C2F7E">
        <w:rPr>
          <w:bCs/>
          <w:snapToGrid w:val="0"/>
          <w:szCs w:val="28"/>
        </w:rPr>
        <w:t>Голеневу</w:t>
      </w:r>
      <w:proofErr w:type="spellEnd"/>
      <w:r w:rsidRPr="003C2F7E">
        <w:rPr>
          <w:bCs/>
          <w:snapToGrid w:val="0"/>
          <w:szCs w:val="28"/>
        </w:rPr>
        <w:t xml:space="preserve"> А.И</w:t>
      </w:r>
      <w:r w:rsidR="001A345E" w:rsidRPr="003C2F7E">
        <w:rPr>
          <w:bCs/>
          <w:snapToGrid w:val="0"/>
          <w:szCs w:val="28"/>
        </w:rPr>
        <w:t>.:</w:t>
      </w:r>
    </w:p>
    <w:p w:rsidR="001A345E" w:rsidRPr="00287961" w:rsidRDefault="00287961" w:rsidP="00287961">
      <w:pPr>
        <w:ind w:firstLine="708"/>
        <w:jc w:val="both"/>
        <w:rPr>
          <w:szCs w:val="28"/>
        </w:rPr>
      </w:pPr>
      <w:r>
        <w:rPr>
          <w:szCs w:val="28"/>
        </w:rPr>
        <w:t xml:space="preserve">4.1 </w:t>
      </w:r>
      <w:r w:rsidR="001A345E" w:rsidRPr="00287961">
        <w:rPr>
          <w:szCs w:val="28"/>
        </w:rPr>
        <w:t>уведомить</w:t>
      </w:r>
      <w:r w:rsidR="001A345E" w:rsidRPr="00C51773">
        <w:t xml:space="preserve"> </w:t>
      </w:r>
      <w:r w:rsidR="00E272A6">
        <w:t>ЗАО «</w:t>
      </w:r>
      <w:proofErr w:type="spellStart"/>
      <w:r w:rsidR="00E272A6">
        <w:t>Инфо</w:t>
      </w:r>
      <w:r>
        <w:t>защита</w:t>
      </w:r>
      <w:proofErr w:type="spellEnd"/>
      <w:r w:rsidR="001A345E" w:rsidRPr="00FE2784">
        <w:t>»</w:t>
      </w:r>
      <w:r w:rsidR="001A345E" w:rsidRPr="00287961">
        <w:rPr>
          <w:szCs w:val="28"/>
        </w:rPr>
        <w:t xml:space="preserve"> </w:t>
      </w:r>
      <w:r w:rsidR="001A345E" w:rsidRPr="00287961">
        <w:rPr>
          <w:szCs w:val="27"/>
        </w:rPr>
        <w:t xml:space="preserve">о принятом </w:t>
      </w:r>
      <w:r w:rsidR="001A345E" w:rsidRPr="00287961">
        <w:rPr>
          <w:szCs w:val="28"/>
        </w:rPr>
        <w:t>Конкурсной комиссией ОАО «ТрансКонтейнер» решении;</w:t>
      </w:r>
    </w:p>
    <w:p w:rsidR="001A345E" w:rsidRPr="00C51773" w:rsidRDefault="00287961" w:rsidP="00287961">
      <w:pPr>
        <w:ind w:firstLine="708"/>
        <w:jc w:val="both"/>
        <w:rPr>
          <w:szCs w:val="28"/>
        </w:rPr>
      </w:pPr>
      <w:r>
        <w:rPr>
          <w:szCs w:val="28"/>
        </w:rPr>
        <w:t xml:space="preserve">4.2 </w:t>
      </w:r>
      <w:r w:rsidR="001A345E" w:rsidRPr="00C51773">
        <w:rPr>
          <w:szCs w:val="28"/>
        </w:rPr>
        <w:t xml:space="preserve">обеспечить установленным порядком заключение договора с                      </w:t>
      </w:r>
      <w:r>
        <w:t>ЗА</w:t>
      </w:r>
      <w:r w:rsidR="001A345E" w:rsidRPr="00FE2784">
        <w:t>О «</w:t>
      </w:r>
      <w:proofErr w:type="spellStart"/>
      <w:r w:rsidR="00E272A6">
        <w:t>Инфо</w:t>
      </w:r>
      <w:r>
        <w:t>защита</w:t>
      </w:r>
      <w:proofErr w:type="spellEnd"/>
      <w:r w:rsidR="001A345E" w:rsidRPr="00FE2784">
        <w:t>»</w:t>
      </w:r>
      <w:r w:rsidR="001A345E" w:rsidRPr="00C51773">
        <w:rPr>
          <w:szCs w:val="28"/>
        </w:rPr>
        <w:t>.</w:t>
      </w:r>
    </w:p>
    <w:p w:rsidR="00D7267C" w:rsidRPr="00280B0E" w:rsidRDefault="00D7267C" w:rsidP="00280B0E">
      <w:pPr>
        <w:jc w:val="both"/>
        <w:rPr>
          <w:b/>
          <w:szCs w:val="28"/>
        </w:rPr>
      </w:pPr>
    </w:p>
    <w:p w:rsidR="006067AF" w:rsidRPr="00106D5B" w:rsidRDefault="00106D5B" w:rsidP="006067AF">
      <w:pPr>
        <w:ind w:firstLine="567"/>
        <w:jc w:val="both"/>
        <w:rPr>
          <w:szCs w:val="28"/>
          <w:lang w:val="en-US"/>
        </w:rPr>
      </w:pPr>
      <w:r>
        <w:rPr>
          <w:szCs w:val="28"/>
          <w:lang w:val="en-US"/>
        </w:rPr>
        <w:t>….</w:t>
      </w:r>
    </w:p>
    <w:p w:rsidR="004A4BD8" w:rsidRPr="00481252" w:rsidRDefault="004A4BD8" w:rsidP="00967631">
      <w:pPr>
        <w:pStyle w:val="ad"/>
        <w:ind w:left="709"/>
        <w:jc w:val="both"/>
        <w:rPr>
          <w:szCs w:val="28"/>
        </w:rPr>
      </w:pPr>
    </w:p>
    <w:p w:rsidR="00EA7488" w:rsidRPr="00D23881" w:rsidRDefault="00EA7488" w:rsidP="00967631">
      <w:pPr>
        <w:ind w:firstLine="708"/>
        <w:jc w:val="both"/>
        <w:rPr>
          <w:szCs w:val="28"/>
          <w:lang w:val="en-US"/>
        </w:rPr>
      </w:pPr>
    </w:p>
    <w:p w:rsidR="00EA7488" w:rsidRPr="00C51773" w:rsidRDefault="00EA7488" w:rsidP="00967631">
      <w:pPr>
        <w:ind w:firstLine="708"/>
        <w:jc w:val="both"/>
        <w:rPr>
          <w:szCs w:val="28"/>
        </w:rPr>
      </w:pP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951EF0">
      <w:pPr>
        <w:pStyle w:val="ad"/>
        <w:numPr>
          <w:ilvl w:val="0"/>
          <w:numId w:val="28"/>
        </w:numPr>
        <w:ind w:left="0" w:firstLine="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375DA1" w:rsidRDefault="00375DA1" w:rsidP="00106D5B">
      <w:pPr>
        <w:jc w:val="right"/>
        <w:rPr>
          <w:sz w:val="22"/>
          <w:szCs w:val="22"/>
        </w:rPr>
      </w:pPr>
    </w:p>
    <w:sectPr w:rsidR="00375DA1"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22" w:rsidRDefault="00113122" w:rsidP="00B470FA">
      <w:r>
        <w:separator/>
      </w:r>
    </w:p>
  </w:endnote>
  <w:endnote w:type="continuationSeparator" w:id="1">
    <w:p w:rsidR="00113122" w:rsidRDefault="0011312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22" w:rsidRDefault="00113122" w:rsidP="00B470FA">
      <w:r>
        <w:separator/>
      </w:r>
    </w:p>
  </w:footnote>
  <w:footnote w:type="continuationSeparator" w:id="1">
    <w:p w:rsidR="00113122" w:rsidRDefault="0011312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7A5CCA" w:rsidRPr="00636E16" w:rsidRDefault="00047730" w:rsidP="00636E16">
        <w:pPr>
          <w:pStyle w:val="aff"/>
          <w:jc w:val="center"/>
          <w:rPr>
            <w:sz w:val="24"/>
            <w:szCs w:val="24"/>
          </w:rPr>
        </w:pPr>
        <w:r w:rsidRPr="00636E16">
          <w:rPr>
            <w:sz w:val="24"/>
            <w:szCs w:val="24"/>
          </w:rPr>
          <w:fldChar w:fldCharType="begin"/>
        </w:r>
        <w:r w:rsidR="007A5CCA" w:rsidRPr="00636E16">
          <w:rPr>
            <w:sz w:val="24"/>
            <w:szCs w:val="24"/>
          </w:rPr>
          <w:instrText>PAGE   \* MERGEFORMAT</w:instrText>
        </w:r>
        <w:r w:rsidRPr="00636E16">
          <w:rPr>
            <w:sz w:val="24"/>
            <w:szCs w:val="24"/>
          </w:rPr>
          <w:fldChar w:fldCharType="separate"/>
        </w:r>
        <w:r w:rsidR="00106D5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443</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2014-05-30T06:52:00Z</dcterms:created>
  <dcterms:modified xsi:type="dcterms:W3CDTF">2014-05-30T06:52:00Z</dcterms:modified>
</cp:coreProperties>
</file>