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5C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8709A2" w:rsidRPr="00692CCF">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8709A2">
        <w:rPr>
          <w:b/>
          <w:bCs/>
          <w:szCs w:val="28"/>
          <w:lang w:val="en-US"/>
        </w:rPr>
        <w:t>20</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2B7D61" w:rsidRDefault="002B7D61"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0C124A" w:rsidRDefault="000C124A" w:rsidP="008709A2">
      <w:pPr>
        <w:ind w:left="720"/>
        <w:jc w:val="both"/>
        <w:rPr>
          <w:szCs w:val="28"/>
        </w:rPr>
      </w:pPr>
    </w:p>
    <w:p w:rsidR="008709A2" w:rsidRDefault="000C124A" w:rsidP="008709A2">
      <w:pPr>
        <w:ind w:left="720"/>
        <w:jc w:val="both"/>
        <w:rPr>
          <w:szCs w:val="28"/>
        </w:rPr>
      </w:pPr>
      <w:r>
        <w:rPr>
          <w:szCs w:val="28"/>
        </w:rPr>
        <w:t>….</w:t>
      </w:r>
    </w:p>
    <w:p w:rsidR="00C3140C" w:rsidRDefault="00C3140C" w:rsidP="00C3140C">
      <w:pPr>
        <w:ind w:left="720"/>
        <w:jc w:val="both"/>
        <w:rPr>
          <w:szCs w:val="28"/>
        </w:rPr>
      </w:pPr>
    </w:p>
    <w:p w:rsidR="00C320EC" w:rsidRPr="00AD5EAB" w:rsidRDefault="00C320EC" w:rsidP="00C320EC">
      <w:pPr>
        <w:numPr>
          <w:ilvl w:val="0"/>
          <w:numId w:val="8"/>
        </w:numPr>
        <w:jc w:val="both"/>
      </w:pPr>
      <w:r w:rsidRPr="00AD5EAB">
        <w:t>Подведение итогов открытого конкурса № ОК/001/ГОРЬК/0001</w:t>
      </w:r>
      <w:r w:rsidRPr="00AD5EAB">
        <w:rPr>
          <w:b/>
        </w:rPr>
        <w:t xml:space="preserve">  </w:t>
      </w:r>
      <w:r w:rsidRPr="00AD5EAB">
        <w:t xml:space="preserve">на право заключения договора на аренду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AD5EAB">
        <w:t>г</w:t>
      </w:r>
      <w:proofErr w:type="gramEnd"/>
      <w:r w:rsidRPr="00AD5EAB">
        <w:t xml:space="preserve">. Кирове, прилегающих районах с момента подписания по 31 декабря 2016г. </w:t>
      </w:r>
      <w:r w:rsidRPr="00AD5EAB">
        <w:rPr>
          <w:color w:val="000000"/>
        </w:rPr>
        <w:t xml:space="preserve"> </w:t>
      </w:r>
    </w:p>
    <w:p w:rsidR="00C320EC" w:rsidRPr="00F17417" w:rsidRDefault="008C139F" w:rsidP="00C320EC">
      <w:pPr>
        <w:ind w:left="720"/>
        <w:jc w:val="both"/>
        <w:rPr>
          <w:szCs w:val="28"/>
        </w:rPr>
      </w:pPr>
      <w:r>
        <w:rPr>
          <w:szCs w:val="28"/>
        </w:rPr>
        <w:t xml:space="preserve">Докладчик: Токмачева Л.В. </w:t>
      </w:r>
      <w:bookmarkStart w:id="0" w:name="_GoBack"/>
      <w:bookmarkEnd w:id="0"/>
      <w:r w:rsidR="00C320EC" w:rsidRPr="00F17417">
        <w:rPr>
          <w:szCs w:val="28"/>
        </w:rPr>
        <w:t>(НКПП)</w:t>
      </w:r>
    </w:p>
    <w:p w:rsidR="00C320EC" w:rsidRPr="00F17417" w:rsidRDefault="00C320EC" w:rsidP="00C320EC">
      <w:pPr>
        <w:ind w:left="720"/>
        <w:jc w:val="both"/>
        <w:rPr>
          <w:szCs w:val="28"/>
          <w:shd w:val="clear" w:color="auto" w:fill="FFFFFF"/>
        </w:rPr>
      </w:pPr>
      <w:r w:rsidRPr="00F17417">
        <w:rPr>
          <w:szCs w:val="28"/>
        </w:rPr>
        <w:t>Заявки в АСБК:</w:t>
      </w:r>
      <w:r w:rsidRPr="00D860F5">
        <w:rPr>
          <w:szCs w:val="28"/>
        </w:rPr>
        <w:t xml:space="preserve"> </w:t>
      </w:r>
      <w:r w:rsidRPr="00F17417">
        <w:rPr>
          <w:szCs w:val="28"/>
        </w:rPr>
        <w:t>Т10051636</w:t>
      </w:r>
    </w:p>
    <w:p w:rsidR="00C320EC" w:rsidRPr="00F17417" w:rsidRDefault="00C320EC" w:rsidP="00C320EC">
      <w:pPr>
        <w:pStyle w:val="13"/>
        <w:ind w:left="709" w:firstLine="0"/>
        <w:rPr>
          <w:b/>
          <w:szCs w:val="28"/>
        </w:rPr>
      </w:pPr>
      <w:r w:rsidRPr="00F17417">
        <w:rPr>
          <w:szCs w:val="28"/>
        </w:rPr>
        <w:t>Конкурс: ОК/001/ГОРЬК/0001</w:t>
      </w:r>
      <w:r w:rsidRPr="00F17417">
        <w:rPr>
          <w:b/>
          <w:szCs w:val="28"/>
        </w:rPr>
        <w:t xml:space="preserve">  </w:t>
      </w:r>
    </w:p>
    <w:p w:rsidR="00C320EC" w:rsidRPr="00F17417" w:rsidRDefault="00C320EC" w:rsidP="00C320EC">
      <w:pPr>
        <w:pStyle w:val="13"/>
        <w:ind w:left="709" w:firstLine="0"/>
        <w:rPr>
          <w:szCs w:val="28"/>
        </w:rPr>
      </w:pPr>
    </w:p>
    <w:p w:rsidR="00170BE8" w:rsidRPr="00E95421" w:rsidRDefault="00170BE8" w:rsidP="00170BE8">
      <w:pPr>
        <w:rPr>
          <w:szCs w:val="28"/>
        </w:rPr>
      </w:pPr>
    </w:p>
    <w:p w:rsidR="00C320EC" w:rsidRDefault="006C3E6E" w:rsidP="006C3E6E">
      <w:pPr>
        <w:ind w:firstLine="708"/>
        <w:rPr>
          <w:szCs w:val="28"/>
        </w:rPr>
      </w:pPr>
      <w:r>
        <w:rPr>
          <w:szCs w:val="28"/>
        </w:rPr>
        <w:t>….</w:t>
      </w:r>
    </w:p>
    <w:p w:rsidR="00C320EC" w:rsidRPr="00E1121D" w:rsidRDefault="00C320EC" w:rsidP="00C320EC">
      <w:pPr>
        <w:rPr>
          <w:szCs w:val="28"/>
        </w:rPr>
      </w:pPr>
    </w:p>
    <w:p w:rsidR="006C3E6E" w:rsidRDefault="006C3E6E" w:rsidP="00C320EC">
      <w:pPr>
        <w:rPr>
          <w:b/>
          <w:szCs w:val="28"/>
        </w:rPr>
      </w:pPr>
    </w:p>
    <w:p w:rsidR="006C3E6E" w:rsidRDefault="006C3E6E" w:rsidP="00C320EC">
      <w:pPr>
        <w:rPr>
          <w:b/>
          <w:szCs w:val="28"/>
        </w:rPr>
      </w:pPr>
    </w:p>
    <w:p w:rsidR="006C3E6E" w:rsidRDefault="006C3E6E" w:rsidP="00C320EC">
      <w:pPr>
        <w:rPr>
          <w:b/>
          <w:szCs w:val="28"/>
        </w:rPr>
      </w:pPr>
    </w:p>
    <w:p w:rsidR="00C320EC" w:rsidRDefault="00C320EC" w:rsidP="00C320EC">
      <w:pPr>
        <w:rPr>
          <w:b/>
          <w:szCs w:val="28"/>
        </w:rPr>
      </w:pPr>
      <w:r w:rsidRPr="000C782D">
        <w:rPr>
          <w:b/>
          <w:szCs w:val="28"/>
        </w:rPr>
        <w:lastRenderedPageBreak/>
        <w:t xml:space="preserve">По </w:t>
      </w:r>
      <w:r w:rsidR="00F43E86" w:rsidRPr="000C782D">
        <w:rPr>
          <w:b/>
          <w:szCs w:val="28"/>
        </w:rPr>
        <w:t xml:space="preserve">пункту </w:t>
      </w:r>
      <w:r w:rsidR="00F43E86" w:rsidRPr="000C782D">
        <w:rPr>
          <w:b/>
          <w:szCs w:val="28"/>
          <w:lang w:val="en-US"/>
        </w:rPr>
        <w:t>IV</w:t>
      </w:r>
      <w:r w:rsidR="00F43E86" w:rsidRPr="000C782D">
        <w:rPr>
          <w:b/>
          <w:szCs w:val="28"/>
        </w:rPr>
        <w:t xml:space="preserve"> </w:t>
      </w:r>
      <w:r w:rsidRPr="000C782D">
        <w:rPr>
          <w:b/>
          <w:szCs w:val="28"/>
        </w:rPr>
        <w:t>повестки</w:t>
      </w:r>
      <w:r w:rsidRPr="00E1121D">
        <w:rPr>
          <w:b/>
          <w:szCs w:val="28"/>
        </w:rPr>
        <w:t xml:space="preserve"> дня заседания:</w:t>
      </w:r>
    </w:p>
    <w:p w:rsidR="00C320EC" w:rsidRDefault="00C320EC" w:rsidP="00C320EC">
      <w:pPr>
        <w:rPr>
          <w:b/>
          <w:szCs w:val="28"/>
        </w:rPr>
      </w:pPr>
    </w:p>
    <w:p w:rsidR="00C320EC" w:rsidRPr="002F4B21" w:rsidRDefault="00C320EC" w:rsidP="00C320EC">
      <w:pPr>
        <w:pStyle w:val="ad"/>
        <w:numPr>
          <w:ilvl w:val="0"/>
          <w:numId w:val="41"/>
        </w:numPr>
        <w:ind w:left="0" w:firstLine="709"/>
        <w:jc w:val="both"/>
        <w:rPr>
          <w:szCs w:val="28"/>
        </w:rPr>
      </w:pPr>
      <w:proofErr w:type="gramStart"/>
      <w:r>
        <w:t>О</w:t>
      </w:r>
      <w:r w:rsidRPr="003E49A8">
        <w:t>ткрыт</w:t>
      </w:r>
      <w:r>
        <w:t>ый</w:t>
      </w:r>
      <w:r w:rsidRPr="003E49A8">
        <w:t xml:space="preserve"> конкурс</w:t>
      </w:r>
      <w:r>
        <w:t xml:space="preserve"> №</w:t>
      </w:r>
      <w:r w:rsidRPr="002F4B21">
        <w:t xml:space="preserve"> </w:t>
      </w:r>
      <w:r w:rsidR="00DE1337">
        <w:t>ОК/001/ГОРЬК/0001</w:t>
      </w:r>
      <w:r w:rsidRPr="003E49A8">
        <w:t xml:space="preserve"> </w:t>
      </w:r>
      <w:r w:rsidR="00DE1337" w:rsidRPr="00AD5EAB">
        <w:t xml:space="preserve">на право заключения договора на аренду транспортных средств с экипажем для перевозки порожних и груженых контейнеров филиала ОАО «ТрансКонтейнер» на Горьковской  железной дороге в г. Кирове, прилегающих районах </w:t>
      </w:r>
      <w:r w:rsidRPr="002F4B21">
        <w:rPr>
          <w:szCs w:val="28"/>
        </w:rPr>
        <w:t xml:space="preserve">признан </w:t>
      </w:r>
      <w:r w:rsidRPr="00162882">
        <w:rPr>
          <w:szCs w:val="28"/>
        </w:rPr>
        <w:t>несостоявшимся на основании подпункта 2 пункта 2.9.11 Доку</w:t>
      </w:r>
      <w:r w:rsidR="00DE1337">
        <w:rPr>
          <w:szCs w:val="28"/>
        </w:rPr>
        <w:t>ментации о закупке и подпункт</w:t>
      </w:r>
      <w:r w:rsidR="00DE1337" w:rsidRPr="00E95421">
        <w:rPr>
          <w:szCs w:val="28"/>
        </w:rPr>
        <w:t>а 3</w:t>
      </w:r>
      <w:r w:rsidRPr="00E95421">
        <w:rPr>
          <w:szCs w:val="28"/>
        </w:rPr>
        <w:t xml:space="preserve"> пункта 140 Положения о закупках (на участие в конкур</w:t>
      </w:r>
      <w:r w:rsidR="00DE1337" w:rsidRPr="00E95421">
        <w:rPr>
          <w:szCs w:val="28"/>
        </w:rPr>
        <w:t>се допущен один участник</w:t>
      </w:r>
      <w:r w:rsidRPr="00E95421">
        <w:rPr>
          <w:szCs w:val="28"/>
        </w:rPr>
        <w:t>).</w:t>
      </w:r>
      <w:proofErr w:type="gramEnd"/>
    </w:p>
    <w:p w:rsidR="00C320EC" w:rsidRPr="006D2D39" w:rsidRDefault="00C320EC" w:rsidP="00C320EC">
      <w:pPr>
        <w:pStyle w:val="ad"/>
        <w:numPr>
          <w:ilvl w:val="0"/>
          <w:numId w:val="41"/>
        </w:numPr>
        <w:shd w:val="clear" w:color="auto" w:fill="FFFFFF"/>
        <w:spacing w:line="245" w:lineRule="auto"/>
        <w:ind w:left="0" w:firstLine="709"/>
        <w:jc w:val="both"/>
        <w:rPr>
          <w:snapToGrid w:val="0"/>
          <w:color w:val="000000"/>
          <w:szCs w:val="28"/>
        </w:rPr>
      </w:pPr>
      <w:r w:rsidRPr="006D2D39">
        <w:rPr>
          <w:szCs w:val="28"/>
        </w:rPr>
        <w:t xml:space="preserve">Согласиться с выводами и предложениями Постоянной рабочей группы Конкурсной комиссии филиала ОАО «ТрансКонтейнер» </w:t>
      </w:r>
      <w:r w:rsidR="00DE1337">
        <w:rPr>
          <w:szCs w:val="28"/>
        </w:rPr>
        <w:t xml:space="preserve">на Горьковской железной дороге </w:t>
      </w:r>
      <w:r w:rsidRPr="004A00E3">
        <w:rPr>
          <w:szCs w:val="28"/>
        </w:rPr>
        <w:t xml:space="preserve">(Протокол № </w:t>
      </w:r>
      <w:r w:rsidR="00DE1337">
        <w:rPr>
          <w:szCs w:val="28"/>
        </w:rPr>
        <w:t>3</w:t>
      </w:r>
      <w:r w:rsidRPr="004A00E3">
        <w:rPr>
          <w:szCs w:val="28"/>
        </w:rPr>
        <w:t>/ПРГ заседания, состоявшегося 1</w:t>
      </w:r>
      <w:r w:rsidR="00DE1337">
        <w:rPr>
          <w:szCs w:val="28"/>
        </w:rPr>
        <w:t>2</w:t>
      </w:r>
      <w:r w:rsidRPr="004A00E3">
        <w:rPr>
          <w:szCs w:val="28"/>
        </w:rPr>
        <w:t xml:space="preserve"> </w:t>
      </w:r>
      <w:r w:rsidR="00DE1337">
        <w:rPr>
          <w:szCs w:val="28"/>
        </w:rPr>
        <w:t>мая</w:t>
      </w:r>
      <w:r w:rsidRPr="004A00E3">
        <w:rPr>
          <w:szCs w:val="28"/>
        </w:rPr>
        <w:t xml:space="preserve"> 2014 г.) в части п</w:t>
      </w:r>
      <w:r w:rsidRPr="002F4B21">
        <w:t xml:space="preserve">ринятия решения допустить к участию в </w:t>
      </w:r>
      <w:r>
        <w:t>о</w:t>
      </w:r>
      <w:r w:rsidRPr="003E49A8">
        <w:t>ткрыт</w:t>
      </w:r>
      <w:r>
        <w:t>ом</w:t>
      </w:r>
      <w:r w:rsidRPr="003E49A8">
        <w:t xml:space="preserve"> конкурс</w:t>
      </w:r>
      <w:r w:rsidR="00DE1337">
        <w:t>е ИП Ведерников А.Г.</w:t>
      </w:r>
    </w:p>
    <w:p w:rsidR="00C320EC" w:rsidRPr="00162882" w:rsidRDefault="00C320EC" w:rsidP="00C320EC">
      <w:pPr>
        <w:pStyle w:val="ad"/>
        <w:numPr>
          <w:ilvl w:val="0"/>
          <w:numId w:val="41"/>
        </w:numPr>
        <w:ind w:left="0" w:firstLine="709"/>
        <w:jc w:val="both"/>
      </w:pPr>
      <w:r w:rsidRPr="004A00E3">
        <w:rPr>
          <w:szCs w:val="28"/>
        </w:rPr>
        <w:t xml:space="preserve">Согласиться с выводами и предложениями Постоянной рабочей группы Конкурсной </w:t>
      </w:r>
      <w:r w:rsidR="00DE1337" w:rsidRPr="006D2D39">
        <w:rPr>
          <w:szCs w:val="28"/>
        </w:rPr>
        <w:t xml:space="preserve">филиала ОАО «ТрансКонтейнер» </w:t>
      </w:r>
      <w:r w:rsidR="00DE1337">
        <w:rPr>
          <w:szCs w:val="28"/>
        </w:rPr>
        <w:t xml:space="preserve">на Горьковской железной дороге </w:t>
      </w:r>
      <w:r w:rsidR="00DE1337" w:rsidRPr="004A00E3">
        <w:rPr>
          <w:szCs w:val="28"/>
        </w:rPr>
        <w:t xml:space="preserve">(Протокол № </w:t>
      </w:r>
      <w:r w:rsidR="00DE1337">
        <w:rPr>
          <w:szCs w:val="28"/>
        </w:rPr>
        <w:t>3</w:t>
      </w:r>
      <w:r w:rsidR="00DE1337" w:rsidRPr="004A00E3">
        <w:rPr>
          <w:szCs w:val="28"/>
        </w:rPr>
        <w:t>/ПРГ заседания, состоявшегося 1</w:t>
      </w:r>
      <w:r w:rsidR="00DE1337">
        <w:rPr>
          <w:szCs w:val="28"/>
        </w:rPr>
        <w:t>2</w:t>
      </w:r>
      <w:r w:rsidR="00DE1337" w:rsidRPr="004A00E3">
        <w:rPr>
          <w:szCs w:val="28"/>
        </w:rPr>
        <w:t xml:space="preserve"> </w:t>
      </w:r>
      <w:r w:rsidR="00DE1337">
        <w:rPr>
          <w:szCs w:val="28"/>
        </w:rPr>
        <w:t>мая</w:t>
      </w:r>
      <w:r w:rsidR="00DE1337" w:rsidRPr="004A00E3">
        <w:rPr>
          <w:szCs w:val="28"/>
        </w:rPr>
        <w:t xml:space="preserve"> 2014 г.)</w:t>
      </w:r>
      <w:r w:rsidR="00DE1337" w:rsidRPr="00CF7929">
        <w:rPr>
          <w:szCs w:val="28"/>
        </w:rPr>
        <w:t xml:space="preserve"> </w:t>
      </w:r>
      <w:r w:rsidRPr="00CF7929">
        <w:rPr>
          <w:szCs w:val="28"/>
        </w:rPr>
        <w:t xml:space="preserve">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 </w:t>
      </w:r>
      <w:r w:rsidR="00E93006">
        <w:t xml:space="preserve">ИП Ведерников А.Г. </w:t>
      </w:r>
      <w:r w:rsidRPr="00CF7929">
        <w:rPr>
          <w:szCs w:val="28"/>
        </w:rPr>
        <w:t>на следующих условиях:</w:t>
      </w:r>
    </w:p>
    <w:p w:rsidR="00E95421" w:rsidRPr="008D2521" w:rsidRDefault="008D2521" w:rsidP="008D2521">
      <w:pPr>
        <w:tabs>
          <w:tab w:val="left" w:pos="567"/>
        </w:tabs>
        <w:jc w:val="both"/>
        <w:rPr>
          <w:szCs w:val="28"/>
        </w:rPr>
      </w:pPr>
      <w:r w:rsidRPr="00F43E86">
        <w:rPr>
          <w:b/>
          <w:szCs w:val="28"/>
        </w:rPr>
        <w:tab/>
      </w:r>
      <w:r w:rsidR="00E95421" w:rsidRPr="0026666B">
        <w:rPr>
          <w:b/>
          <w:szCs w:val="28"/>
        </w:rPr>
        <w:t xml:space="preserve">Предмет </w:t>
      </w:r>
      <w:r w:rsidR="00E95421">
        <w:rPr>
          <w:b/>
          <w:szCs w:val="28"/>
        </w:rPr>
        <w:t>Договора</w:t>
      </w:r>
      <w:r w:rsidR="00E95421" w:rsidRPr="0026666B">
        <w:rPr>
          <w:b/>
          <w:szCs w:val="28"/>
        </w:rPr>
        <w:t>:</w:t>
      </w:r>
      <w:r w:rsidR="00E95421" w:rsidRPr="0026666B">
        <w:rPr>
          <w:szCs w:val="28"/>
        </w:rPr>
        <w:t xml:space="preserve"> </w:t>
      </w:r>
      <w:r w:rsidR="00E95421">
        <w:rPr>
          <w:szCs w:val="28"/>
        </w:rPr>
        <w:t>а</w:t>
      </w:r>
      <w:r w:rsidR="00E95421" w:rsidRPr="00DE1F40">
        <w:rPr>
          <w:szCs w:val="28"/>
        </w:rPr>
        <w:t xml:space="preserve">ренда транспортных средств с экипажем для перевозки порожних и груженых контейнеров филиала </w:t>
      </w:r>
      <w:r w:rsidRPr="008D2521">
        <w:rPr>
          <w:szCs w:val="28"/>
        </w:rPr>
        <w:t xml:space="preserve">                                  </w:t>
      </w:r>
      <w:r w:rsidR="00E95421" w:rsidRPr="00DE1F40">
        <w:rPr>
          <w:szCs w:val="28"/>
        </w:rPr>
        <w:t>ОАО «ТрансКонтейнер» на Горьковской железной дороге в г. Кирове, прилегающих районах.</w:t>
      </w:r>
      <w:r w:rsidR="00E95421" w:rsidRPr="0026666B">
        <w:rPr>
          <w:szCs w:val="28"/>
        </w:rPr>
        <w:t xml:space="preserve"> </w:t>
      </w:r>
    </w:p>
    <w:p w:rsidR="00E95421" w:rsidRDefault="008D2521" w:rsidP="008D2521">
      <w:pPr>
        <w:tabs>
          <w:tab w:val="left" w:pos="567"/>
        </w:tabs>
        <w:jc w:val="both"/>
        <w:rPr>
          <w:szCs w:val="28"/>
        </w:rPr>
      </w:pPr>
      <w:r w:rsidRPr="008D2521">
        <w:rPr>
          <w:b/>
          <w:szCs w:val="28"/>
        </w:rPr>
        <w:tab/>
      </w:r>
      <w:r w:rsidR="00E95421" w:rsidRPr="0026666B">
        <w:rPr>
          <w:b/>
          <w:szCs w:val="28"/>
        </w:rPr>
        <w:t xml:space="preserve">Максимальная цена договора: </w:t>
      </w:r>
      <w:r w:rsidR="00E95421" w:rsidRPr="001C70BA">
        <w:t>50 665</w:t>
      </w:r>
      <w:r w:rsidR="00954D27">
        <w:t> </w:t>
      </w:r>
      <w:r w:rsidR="00E95421" w:rsidRPr="001C70BA">
        <w:t>664</w:t>
      </w:r>
      <w:r w:rsidR="00954D27">
        <w:rPr>
          <w:szCs w:val="28"/>
        </w:rPr>
        <w:t xml:space="preserve"> </w:t>
      </w:r>
      <w:r w:rsidR="00E95421" w:rsidRPr="002E2BF2">
        <w:rPr>
          <w:szCs w:val="28"/>
        </w:rPr>
        <w:t>(</w:t>
      </w:r>
      <w:r w:rsidR="00E95421">
        <w:rPr>
          <w:szCs w:val="28"/>
        </w:rPr>
        <w:t>пятьдесят миллионов шестьсот шестьдесят пять тысяч шестьсот шестьдесят четыре)</w:t>
      </w:r>
      <w:r w:rsidR="00954D27">
        <w:rPr>
          <w:szCs w:val="28"/>
        </w:rPr>
        <w:t xml:space="preserve"> рубля</w:t>
      </w:r>
      <w:r w:rsidR="00E95421" w:rsidRPr="002E2BF2">
        <w:rPr>
          <w:szCs w:val="28"/>
        </w:rPr>
        <w:t xml:space="preserve"> с учетом всех расходов поставщика и налогов</w:t>
      </w:r>
      <w:r w:rsidR="00731616">
        <w:rPr>
          <w:szCs w:val="28"/>
        </w:rPr>
        <w:t>, без учета НДС. НДС начисляется в соответствии с законодательством Российской Федерации.</w:t>
      </w:r>
    </w:p>
    <w:p w:rsidR="00E95421" w:rsidRDefault="00E95421" w:rsidP="00E95421">
      <w:pPr>
        <w:tabs>
          <w:tab w:val="left" w:pos="1134"/>
        </w:tabs>
        <w:jc w:val="both"/>
        <w:rPr>
          <w:szCs w:val="28"/>
        </w:rPr>
      </w:pPr>
    </w:p>
    <w:p w:rsidR="00E95421" w:rsidRDefault="00E95421" w:rsidP="008D2521">
      <w:pPr>
        <w:suppressAutoHyphens/>
        <w:ind w:firstLine="533"/>
        <w:jc w:val="both"/>
        <w:rPr>
          <w:rFonts w:eastAsia="MS Mincho"/>
          <w:lang w:eastAsia="ar-SA"/>
        </w:rPr>
      </w:pPr>
      <w:r w:rsidRPr="00864391">
        <w:rPr>
          <w:rFonts w:eastAsia="MS Mincho"/>
          <w:b/>
          <w:lang w:eastAsia="ar-SA"/>
        </w:rPr>
        <w:t>Стоимость услуг по предоставлению в аренду транспортных средств с экипажем</w:t>
      </w:r>
      <w:r>
        <w:rPr>
          <w:rFonts w:eastAsia="MS Mincho"/>
          <w:lang w:eastAsia="ar-SA"/>
        </w:rPr>
        <w:t xml:space="preserve">: приведена в </w:t>
      </w:r>
      <w:r w:rsidR="000835AA" w:rsidRPr="00954D27">
        <w:rPr>
          <w:rFonts w:eastAsia="MS Mincho"/>
          <w:color w:val="000000" w:themeColor="text1"/>
          <w:lang w:eastAsia="ar-SA"/>
        </w:rPr>
        <w:t>П</w:t>
      </w:r>
      <w:r w:rsidRPr="00954D27">
        <w:rPr>
          <w:rFonts w:eastAsia="MS Mincho"/>
          <w:color w:val="000000" w:themeColor="text1"/>
          <w:lang w:eastAsia="ar-SA"/>
        </w:rPr>
        <w:t xml:space="preserve">риложении № </w:t>
      </w:r>
      <w:r w:rsidR="000835AA" w:rsidRPr="00954D27">
        <w:rPr>
          <w:rFonts w:eastAsia="MS Mincho"/>
          <w:color w:val="000000" w:themeColor="text1"/>
          <w:lang w:eastAsia="ar-SA"/>
        </w:rPr>
        <w:t>3</w:t>
      </w:r>
      <w:r>
        <w:rPr>
          <w:rFonts w:eastAsia="MS Mincho"/>
          <w:lang w:eastAsia="ar-SA"/>
        </w:rPr>
        <w:t xml:space="preserve"> к настоящему Протоколу.</w:t>
      </w:r>
      <w:r w:rsidRPr="00A6152D">
        <w:rPr>
          <w:rFonts w:eastAsia="MS Mincho"/>
          <w:lang w:eastAsia="ar-SA"/>
        </w:rPr>
        <w:t xml:space="preserve"> </w:t>
      </w:r>
    </w:p>
    <w:p w:rsidR="00E95421" w:rsidRPr="00F43E86" w:rsidRDefault="00E95421" w:rsidP="008D2521">
      <w:pPr>
        <w:suppressAutoHyphens/>
        <w:ind w:firstLine="601"/>
        <w:jc w:val="both"/>
        <w:rPr>
          <w:rFonts w:eastAsia="MS Mincho"/>
          <w:lang w:eastAsia="ar-SA"/>
        </w:rPr>
      </w:pPr>
      <w:r w:rsidRPr="00003F18">
        <w:rPr>
          <w:rFonts w:eastAsia="MS Mincho"/>
          <w:lang w:eastAsia="ar-SA"/>
        </w:rPr>
        <w:t>Цена по договору, заключаемому по результатам проведения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r>
        <w:rPr>
          <w:rFonts w:eastAsia="MS Mincho"/>
          <w:lang w:eastAsia="ar-SA"/>
        </w:rPr>
        <w:t xml:space="preserve"> </w:t>
      </w:r>
      <w:r w:rsidRPr="00003F18">
        <w:rPr>
          <w:rFonts w:eastAsia="MS Mincho"/>
          <w:lang w:eastAsia="ar-SA"/>
        </w:rPr>
        <w:t>увеличение цены на работы, услуги возможно не ранее, чем через 6 месяцев с даты заключения договора и не чаще одного раза в течение года;</w:t>
      </w:r>
      <w:r>
        <w:rPr>
          <w:rFonts w:eastAsia="MS Mincho"/>
          <w:lang w:eastAsia="ar-SA"/>
        </w:rPr>
        <w:t xml:space="preserve"> </w:t>
      </w:r>
      <w:r w:rsidRPr="00003F18">
        <w:rPr>
          <w:rFonts w:eastAsia="MS Mincho"/>
          <w:lang w:eastAsia="ar-SA"/>
        </w:rPr>
        <w:t xml:space="preserve"> </w:t>
      </w:r>
      <w:r w:rsidRPr="004D147E">
        <w:t>арендная плата не может быть увеличена более чем на 10% (десять процентов) в год от первоначально согласованной</w:t>
      </w:r>
      <w:r>
        <w:t>.</w:t>
      </w:r>
    </w:p>
    <w:p w:rsidR="00E95421" w:rsidRPr="00F43E86" w:rsidRDefault="00E95421" w:rsidP="008D2521">
      <w:pPr>
        <w:pStyle w:val="13"/>
        <w:tabs>
          <w:tab w:val="left" w:pos="993"/>
        </w:tabs>
        <w:suppressAutoHyphens/>
        <w:ind w:firstLine="567"/>
        <w:rPr>
          <w:szCs w:val="28"/>
        </w:rPr>
      </w:pPr>
      <w:r w:rsidRPr="00605B3A">
        <w:rPr>
          <w:b/>
          <w:szCs w:val="28"/>
        </w:rPr>
        <w:t xml:space="preserve">Сроки </w:t>
      </w:r>
      <w:r>
        <w:rPr>
          <w:b/>
          <w:szCs w:val="28"/>
        </w:rPr>
        <w:t>оказания услуг</w:t>
      </w:r>
      <w:r w:rsidRPr="00605B3A">
        <w:rPr>
          <w:b/>
          <w:szCs w:val="28"/>
        </w:rPr>
        <w:t>:</w:t>
      </w:r>
      <w:r>
        <w:rPr>
          <w:b/>
          <w:szCs w:val="28"/>
        </w:rPr>
        <w:t xml:space="preserve"> </w:t>
      </w:r>
      <w:r w:rsidRPr="00DE1F40">
        <w:rPr>
          <w:szCs w:val="28"/>
        </w:rPr>
        <w:t>с момента подписания по 31 декабря 2016г.</w:t>
      </w:r>
    </w:p>
    <w:p w:rsidR="00E95421" w:rsidRPr="00F43E86" w:rsidRDefault="00E95421" w:rsidP="008D2521">
      <w:pPr>
        <w:suppressAutoHyphens/>
        <w:ind w:firstLine="567"/>
        <w:jc w:val="both"/>
      </w:pPr>
      <w:r w:rsidRPr="0026666B">
        <w:rPr>
          <w:b/>
          <w:iCs/>
          <w:szCs w:val="28"/>
        </w:rPr>
        <w:t>Форма и порядок оплаты:</w:t>
      </w:r>
      <w:r>
        <w:rPr>
          <w:b/>
          <w:iCs/>
          <w:szCs w:val="28"/>
        </w:rPr>
        <w:t xml:space="preserve"> </w:t>
      </w:r>
      <w:r w:rsidRPr="002C4C4A">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E95421" w:rsidRPr="00F43E86" w:rsidRDefault="00E95421" w:rsidP="008D2521">
      <w:pPr>
        <w:pStyle w:val="ConsPlusNonformat"/>
        <w:ind w:firstLine="567"/>
        <w:jc w:val="both"/>
        <w:rPr>
          <w:iCs/>
          <w:szCs w:val="28"/>
        </w:rPr>
      </w:pPr>
      <w:r w:rsidRPr="00661FCB">
        <w:rPr>
          <w:rFonts w:ascii="Times New Roman" w:hAnsi="Times New Roman" w:cs="Times New Roman"/>
          <w:b/>
          <w:iCs/>
          <w:sz w:val="28"/>
          <w:szCs w:val="28"/>
        </w:rPr>
        <w:lastRenderedPageBreak/>
        <w:t xml:space="preserve">Срок действия договора: </w:t>
      </w:r>
      <w:r w:rsidRPr="00661FCB">
        <w:rPr>
          <w:rFonts w:ascii="Times New Roman" w:hAnsi="Times New Roman" w:cs="Times New Roman"/>
          <w:sz w:val="28"/>
          <w:szCs w:val="28"/>
        </w:rPr>
        <w:t>Договор вступает в силу с момента подписания Сторонами и действует до 31 декабря 2016 года, а в части расчетов – до их полного исполнения.</w:t>
      </w:r>
    </w:p>
    <w:p w:rsidR="00E95421" w:rsidRPr="00F43E86" w:rsidRDefault="00E95421" w:rsidP="008D2521">
      <w:pPr>
        <w:ind w:firstLine="567"/>
        <w:jc w:val="both"/>
        <w:rPr>
          <w:color w:val="000000"/>
          <w:lang w:eastAsia="ar-SA"/>
        </w:rPr>
      </w:pPr>
      <w:r w:rsidRPr="0026666B">
        <w:rPr>
          <w:b/>
          <w:iCs/>
          <w:szCs w:val="28"/>
        </w:rPr>
        <w:t xml:space="preserve">Место </w:t>
      </w:r>
      <w:r>
        <w:rPr>
          <w:b/>
          <w:iCs/>
          <w:szCs w:val="28"/>
        </w:rPr>
        <w:t>выполнения Работ</w:t>
      </w:r>
      <w:r w:rsidRPr="0026666B">
        <w:rPr>
          <w:b/>
          <w:iCs/>
          <w:szCs w:val="28"/>
        </w:rPr>
        <w:t xml:space="preserve">: </w:t>
      </w:r>
      <w:r w:rsidRPr="00DE1F40">
        <w:rPr>
          <w:szCs w:val="28"/>
        </w:rPr>
        <w:t>г. Киров</w:t>
      </w:r>
      <w:r>
        <w:rPr>
          <w:szCs w:val="28"/>
        </w:rPr>
        <w:t xml:space="preserve"> и</w:t>
      </w:r>
      <w:r w:rsidRPr="00DE1F40">
        <w:rPr>
          <w:szCs w:val="28"/>
        </w:rPr>
        <w:t xml:space="preserve"> прилегающи</w:t>
      </w:r>
      <w:r>
        <w:rPr>
          <w:szCs w:val="28"/>
        </w:rPr>
        <w:t>е</w:t>
      </w:r>
      <w:r w:rsidRPr="00DE1F40">
        <w:rPr>
          <w:szCs w:val="28"/>
        </w:rPr>
        <w:t xml:space="preserve"> район</w:t>
      </w:r>
      <w:r>
        <w:rPr>
          <w:szCs w:val="28"/>
        </w:rPr>
        <w:t>ы.</w:t>
      </w:r>
      <w:r w:rsidRPr="00661FCB">
        <w:rPr>
          <w:color w:val="000000"/>
          <w:lang w:eastAsia="ar-SA"/>
        </w:rPr>
        <w:t xml:space="preserve"> </w:t>
      </w:r>
    </w:p>
    <w:p w:rsidR="00A97E17" w:rsidRDefault="008D2521">
      <w:pPr>
        <w:pStyle w:val="Default"/>
        <w:ind w:firstLine="709"/>
        <w:jc w:val="both"/>
        <w:rPr>
          <w:szCs w:val="28"/>
        </w:rPr>
      </w:pPr>
      <w:r w:rsidRPr="00F43E86">
        <w:rPr>
          <w:b/>
          <w:lang w:eastAsia="ar-SA"/>
        </w:rPr>
        <w:tab/>
      </w:r>
      <w:r w:rsidR="00E95421" w:rsidRPr="00CD01E1">
        <w:rPr>
          <w:b/>
          <w:lang w:eastAsia="ar-SA"/>
        </w:rPr>
        <w:t>Иные условия:</w:t>
      </w:r>
      <w:r w:rsidR="00E95421">
        <w:rPr>
          <w:lang w:eastAsia="ar-SA"/>
        </w:rPr>
        <w:t xml:space="preserve"> </w:t>
      </w:r>
      <w:r w:rsidR="0072575A" w:rsidRPr="007E08B1">
        <w:rPr>
          <w:sz w:val="28"/>
          <w:szCs w:val="28"/>
          <w:lang w:eastAsia="ar-SA"/>
        </w:rPr>
        <w:t>Стороны вправе согласовать в случае необходимости</w:t>
      </w:r>
      <w:r w:rsidR="0072575A">
        <w:rPr>
          <w:sz w:val="28"/>
          <w:szCs w:val="28"/>
          <w:lang w:eastAsia="ar-SA"/>
        </w:rPr>
        <w:t xml:space="preserve"> внесения</w:t>
      </w:r>
      <w:r w:rsidR="0072575A" w:rsidRPr="007E08B1">
        <w:rPr>
          <w:sz w:val="28"/>
          <w:szCs w:val="28"/>
          <w:lang w:eastAsia="ar-SA"/>
        </w:rPr>
        <w:t xml:space="preserve"> </w:t>
      </w:r>
      <w:r w:rsidR="0072575A">
        <w:rPr>
          <w:sz w:val="28"/>
          <w:szCs w:val="28"/>
          <w:lang w:eastAsia="ar-SA"/>
        </w:rPr>
        <w:t>изменений</w:t>
      </w:r>
      <w:r w:rsidR="0072575A" w:rsidRPr="007E08B1">
        <w:rPr>
          <w:sz w:val="28"/>
          <w:szCs w:val="28"/>
          <w:lang w:eastAsia="ar-SA"/>
        </w:rPr>
        <w:t xml:space="preserve"> в </w:t>
      </w:r>
      <w:r w:rsidR="0072575A" w:rsidRPr="004B059B">
        <w:rPr>
          <w:sz w:val="28"/>
          <w:szCs w:val="28"/>
          <w:lang w:eastAsia="ar-SA"/>
        </w:rPr>
        <w:t xml:space="preserve">договор </w:t>
      </w:r>
      <w:r w:rsidR="0072575A">
        <w:rPr>
          <w:sz w:val="28"/>
          <w:szCs w:val="28"/>
          <w:lang w:eastAsia="ar-SA"/>
        </w:rPr>
        <w:t>(</w:t>
      </w:r>
      <w:r w:rsidR="0072575A" w:rsidRPr="007E08B1">
        <w:rPr>
          <w:sz w:val="28"/>
          <w:szCs w:val="28"/>
          <w:lang w:eastAsia="ar-SA"/>
        </w:rPr>
        <w:t>дополнительн</w:t>
      </w:r>
      <w:r w:rsidR="0072575A">
        <w:rPr>
          <w:sz w:val="28"/>
          <w:szCs w:val="28"/>
          <w:lang w:eastAsia="ar-SA"/>
        </w:rPr>
        <w:t>ая</w:t>
      </w:r>
      <w:r w:rsidR="0072575A" w:rsidRPr="007E08B1">
        <w:rPr>
          <w:sz w:val="28"/>
          <w:szCs w:val="28"/>
          <w:lang w:eastAsia="ar-SA"/>
        </w:rPr>
        <w:t xml:space="preserve"> зон</w:t>
      </w:r>
      <w:r w:rsidR="0072575A">
        <w:rPr>
          <w:sz w:val="28"/>
          <w:szCs w:val="28"/>
          <w:lang w:eastAsia="ar-SA"/>
        </w:rPr>
        <w:t>а</w:t>
      </w:r>
      <w:r w:rsidR="0072575A" w:rsidRPr="007E08B1">
        <w:rPr>
          <w:sz w:val="28"/>
          <w:szCs w:val="28"/>
          <w:lang w:eastAsia="ar-SA"/>
        </w:rPr>
        <w:t>, маршрут, расстояни</w:t>
      </w:r>
      <w:r w:rsidR="0072575A">
        <w:rPr>
          <w:sz w:val="28"/>
          <w:szCs w:val="28"/>
          <w:lang w:eastAsia="ar-SA"/>
        </w:rPr>
        <w:t>е</w:t>
      </w:r>
      <w:r w:rsidR="0072575A" w:rsidRPr="007E08B1">
        <w:rPr>
          <w:sz w:val="28"/>
          <w:szCs w:val="28"/>
          <w:lang w:eastAsia="ar-SA"/>
        </w:rPr>
        <w:t>, временно</w:t>
      </w:r>
      <w:r w:rsidR="0072575A">
        <w:rPr>
          <w:sz w:val="28"/>
          <w:szCs w:val="28"/>
          <w:lang w:eastAsia="ar-SA"/>
        </w:rPr>
        <w:t>й</w:t>
      </w:r>
      <w:r w:rsidR="0072575A" w:rsidRPr="007E08B1">
        <w:rPr>
          <w:sz w:val="28"/>
          <w:szCs w:val="28"/>
          <w:lang w:eastAsia="ar-SA"/>
        </w:rPr>
        <w:t xml:space="preserve"> диапазон, изменени</w:t>
      </w:r>
      <w:r w:rsidR="0072575A">
        <w:rPr>
          <w:sz w:val="28"/>
          <w:szCs w:val="28"/>
          <w:lang w:eastAsia="ar-SA"/>
        </w:rPr>
        <w:t>е</w:t>
      </w:r>
      <w:r w:rsidR="0072575A" w:rsidRPr="007E08B1">
        <w:rPr>
          <w:sz w:val="28"/>
          <w:szCs w:val="28"/>
          <w:lang w:eastAsia="ar-SA"/>
        </w:rPr>
        <w:t xml:space="preserve"> перечня водителей и др.</w:t>
      </w:r>
      <w:r w:rsidR="0072575A">
        <w:rPr>
          <w:sz w:val="28"/>
          <w:szCs w:val="28"/>
          <w:lang w:eastAsia="ar-SA"/>
        </w:rPr>
        <w:t>)</w:t>
      </w:r>
      <w:r w:rsidR="0072575A" w:rsidRPr="007E08B1">
        <w:rPr>
          <w:sz w:val="28"/>
          <w:szCs w:val="28"/>
          <w:lang w:eastAsia="ar-SA"/>
        </w:rPr>
        <w:t xml:space="preserve"> </w:t>
      </w:r>
      <w:r w:rsidR="0072575A">
        <w:rPr>
          <w:sz w:val="28"/>
          <w:szCs w:val="28"/>
          <w:lang w:eastAsia="ar-SA"/>
        </w:rPr>
        <w:t>п</w:t>
      </w:r>
      <w:r w:rsidR="0072575A" w:rsidRPr="004B059B">
        <w:rPr>
          <w:sz w:val="28"/>
          <w:szCs w:val="28"/>
          <w:lang w:eastAsia="ar-SA"/>
        </w:rPr>
        <w:t>одписани</w:t>
      </w:r>
      <w:r w:rsidR="0072575A">
        <w:rPr>
          <w:sz w:val="28"/>
          <w:szCs w:val="28"/>
          <w:lang w:eastAsia="ar-SA"/>
        </w:rPr>
        <w:t>е</w:t>
      </w:r>
      <w:r w:rsidR="0072575A" w:rsidRPr="004B059B">
        <w:rPr>
          <w:sz w:val="28"/>
          <w:szCs w:val="28"/>
          <w:lang w:eastAsia="ar-SA"/>
        </w:rPr>
        <w:t xml:space="preserve"> дополнительного соглашения к договору </w:t>
      </w:r>
      <w:r w:rsidR="0072575A">
        <w:rPr>
          <w:sz w:val="28"/>
          <w:szCs w:val="28"/>
          <w:lang w:eastAsia="ar-SA"/>
        </w:rPr>
        <w:t xml:space="preserve">без </w:t>
      </w:r>
      <w:r w:rsidR="0072575A" w:rsidRPr="004B059B">
        <w:rPr>
          <w:sz w:val="28"/>
          <w:szCs w:val="28"/>
          <w:lang w:eastAsia="ar-SA"/>
        </w:rPr>
        <w:t>проведени</w:t>
      </w:r>
      <w:r w:rsidR="0072575A">
        <w:rPr>
          <w:sz w:val="28"/>
          <w:szCs w:val="28"/>
          <w:lang w:eastAsia="ar-SA"/>
        </w:rPr>
        <w:t>я</w:t>
      </w:r>
      <w:r w:rsidR="0072575A" w:rsidRPr="004B059B">
        <w:rPr>
          <w:sz w:val="28"/>
          <w:szCs w:val="28"/>
          <w:lang w:eastAsia="ar-SA"/>
        </w:rPr>
        <w:t xml:space="preserve"> </w:t>
      </w:r>
      <w:r w:rsidR="0072575A">
        <w:rPr>
          <w:sz w:val="28"/>
          <w:szCs w:val="28"/>
          <w:lang w:eastAsia="ar-SA"/>
        </w:rPr>
        <w:t xml:space="preserve"> </w:t>
      </w:r>
      <w:r w:rsidR="0072575A" w:rsidRPr="004B059B">
        <w:rPr>
          <w:sz w:val="28"/>
          <w:szCs w:val="28"/>
          <w:lang w:eastAsia="ar-SA"/>
        </w:rPr>
        <w:t>конкурсных процедур.</w:t>
      </w:r>
    </w:p>
    <w:p w:rsidR="00C320EC" w:rsidRPr="00A046D4" w:rsidRDefault="00E93006" w:rsidP="00C320EC">
      <w:pPr>
        <w:pStyle w:val="ad"/>
        <w:numPr>
          <w:ilvl w:val="0"/>
          <w:numId w:val="40"/>
        </w:numPr>
        <w:ind w:left="0" w:firstLine="709"/>
        <w:jc w:val="both"/>
        <w:rPr>
          <w:szCs w:val="28"/>
        </w:rPr>
      </w:pPr>
      <w:r>
        <w:rPr>
          <w:szCs w:val="28"/>
        </w:rPr>
        <w:t>Поручить заместителю директора филиала ОАО «ТрансКонтейнер» на Горьковской железной дороге Кирпичникову А.А.</w:t>
      </w:r>
      <w:r w:rsidR="00C320EC" w:rsidRPr="00A046D4">
        <w:rPr>
          <w:bCs/>
          <w:snapToGrid w:val="0"/>
          <w:szCs w:val="28"/>
        </w:rPr>
        <w:t>:</w:t>
      </w:r>
    </w:p>
    <w:p w:rsidR="00C320EC" w:rsidRPr="00A046D4" w:rsidRDefault="00E93006" w:rsidP="00954D27">
      <w:pPr>
        <w:pStyle w:val="ad"/>
        <w:numPr>
          <w:ilvl w:val="1"/>
          <w:numId w:val="40"/>
        </w:numPr>
        <w:ind w:left="0" w:firstLine="709"/>
        <w:jc w:val="both"/>
        <w:rPr>
          <w:szCs w:val="28"/>
        </w:rPr>
      </w:pPr>
      <w:r w:rsidRPr="00A046D4">
        <w:rPr>
          <w:szCs w:val="28"/>
        </w:rPr>
        <w:t>У</w:t>
      </w:r>
      <w:r w:rsidR="00C320EC" w:rsidRPr="00A046D4">
        <w:rPr>
          <w:szCs w:val="28"/>
        </w:rPr>
        <w:t>ведомить</w:t>
      </w:r>
      <w:r>
        <w:t xml:space="preserve"> ИП Ведерников А.Г.</w:t>
      </w:r>
      <w:r w:rsidR="00C320EC">
        <w:t xml:space="preserve"> </w:t>
      </w:r>
      <w:r w:rsidR="00C320EC" w:rsidRPr="00A046D4">
        <w:rPr>
          <w:szCs w:val="27"/>
        </w:rPr>
        <w:t xml:space="preserve">о принятом </w:t>
      </w:r>
      <w:r w:rsidR="00C320EC" w:rsidRPr="00A046D4">
        <w:rPr>
          <w:szCs w:val="28"/>
        </w:rPr>
        <w:t xml:space="preserve">Конкурсной комиссией </w:t>
      </w:r>
      <w:r w:rsidR="00C320EC">
        <w:rPr>
          <w:szCs w:val="28"/>
        </w:rPr>
        <w:t xml:space="preserve">               </w:t>
      </w:r>
      <w:r w:rsidR="00C320EC" w:rsidRPr="00A046D4">
        <w:rPr>
          <w:szCs w:val="28"/>
        </w:rPr>
        <w:t>ОАО «ТрансКонтейнер» решении;</w:t>
      </w:r>
    </w:p>
    <w:p w:rsidR="00C320EC" w:rsidRDefault="00C320EC" w:rsidP="00954D27">
      <w:pPr>
        <w:ind w:firstLine="708"/>
        <w:jc w:val="both"/>
        <w:rPr>
          <w:szCs w:val="28"/>
        </w:rPr>
      </w:pPr>
      <w:r w:rsidRPr="00C51773">
        <w:rPr>
          <w:szCs w:val="28"/>
        </w:rPr>
        <w:t xml:space="preserve">4.2 обеспечить установленным </w:t>
      </w:r>
      <w:r w:rsidR="00E93006">
        <w:rPr>
          <w:szCs w:val="28"/>
        </w:rPr>
        <w:t xml:space="preserve">порядком заключение договора с </w:t>
      </w:r>
      <w:r w:rsidR="000C782D" w:rsidRPr="000C782D">
        <w:rPr>
          <w:szCs w:val="28"/>
        </w:rPr>
        <w:t xml:space="preserve">           </w:t>
      </w:r>
      <w:r w:rsidR="00E93006">
        <w:rPr>
          <w:szCs w:val="28"/>
        </w:rPr>
        <w:t>ИП Ведерников А.Г.</w:t>
      </w:r>
      <w:r w:rsidRPr="00C51773">
        <w:rPr>
          <w:szCs w:val="28"/>
        </w:rPr>
        <w:t xml:space="preserve">        </w:t>
      </w:r>
    </w:p>
    <w:p w:rsidR="002425F4" w:rsidRDefault="002425F4" w:rsidP="00C320EC">
      <w:pPr>
        <w:rPr>
          <w:szCs w:val="28"/>
        </w:rPr>
      </w:pPr>
    </w:p>
    <w:p w:rsidR="00DF6E8D" w:rsidRDefault="00DF6E8D"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tbl>
      <w:tblPr>
        <w:tblStyle w:val="a8"/>
        <w:tblpPr w:leftFromText="180" w:rightFromText="180" w:vertAnchor="text" w:horzAnchor="margin" w:tblpY="7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DF6E8D" w:rsidRPr="004679A3" w:rsidTr="00DF6E8D">
        <w:trPr>
          <w:trHeight w:val="903"/>
        </w:trPr>
        <w:tc>
          <w:tcPr>
            <w:tcW w:w="5778" w:type="dxa"/>
          </w:tcPr>
          <w:p w:rsidR="00DF6E8D" w:rsidRPr="004679A3" w:rsidRDefault="00DF6E8D" w:rsidP="00DF6E8D">
            <w:pPr>
              <w:pStyle w:val="a6"/>
              <w:tabs>
                <w:tab w:val="left" w:pos="0"/>
              </w:tabs>
              <w:rPr>
                <w:i w:val="0"/>
              </w:rPr>
            </w:pPr>
            <w:r>
              <w:rPr>
                <w:i w:val="0"/>
              </w:rPr>
              <w:t>Заместитель Пр</w:t>
            </w:r>
            <w:r w:rsidRPr="004679A3">
              <w:rPr>
                <w:i w:val="0"/>
              </w:rPr>
              <w:t>едседател</w:t>
            </w:r>
            <w:r>
              <w:rPr>
                <w:i w:val="0"/>
              </w:rPr>
              <w:t>я</w:t>
            </w:r>
          </w:p>
          <w:p w:rsidR="00DF6E8D" w:rsidRPr="004679A3" w:rsidRDefault="00DF6E8D" w:rsidP="00DF6E8D">
            <w:pPr>
              <w:pStyle w:val="a6"/>
              <w:tabs>
                <w:tab w:val="left" w:pos="0"/>
              </w:tabs>
              <w:rPr>
                <w:i w:val="0"/>
              </w:rPr>
            </w:pPr>
            <w:r w:rsidRPr="004679A3">
              <w:rPr>
                <w:i w:val="0"/>
              </w:rPr>
              <w:t xml:space="preserve">Конкурсной комиссии                                                               </w:t>
            </w:r>
          </w:p>
          <w:p w:rsidR="00DF6E8D" w:rsidRPr="004679A3" w:rsidRDefault="00DF6E8D" w:rsidP="00DF6E8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DF6E8D" w:rsidRPr="004679A3" w:rsidRDefault="00DF6E8D" w:rsidP="00DF6E8D">
            <w:pPr>
              <w:jc w:val="right"/>
              <w:rPr>
                <w:szCs w:val="28"/>
              </w:rPr>
            </w:pPr>
          </w:p>
          <w:p w:rsidR="00DF6E8D" w:rsidRPr="004679A3" w:rsidRDefault="00DF6E8D" w:rsidP="00150D6F">
            <w:pPr>
              <w:jc w:val="right"/>
              <w:rPr>
                <w:szCs w:val="28"/>
              </w:rPr>
            </w:pPr>
          </w:p>
        </w:tc>
      </w:tr>
      <w:tr w:rsidR="00DF6E8D" w:rsidRPr="004679A3" w:rsidTr="00DF6E8D">
        <w:tc>
          <w:tcPr>
            <w:tcW w:w="5778" w:type="dxa"/>
          </w:tcPr>
          <w:p w:rsidR="00DF6E8D" w:rsidRPr="004679A3" w:rsidRDefault="00DF6E8D" w:rsidP="00DF6E8D">
            <w:pPr>
              <w:jc w:val="both"/>
              <w:rPr>
                <w:szCs w:val="28"/>
              </w:rPr>
            </w:pPr>
          </w:p>
          <w:p w:rsidR="00DF6E8D" w:rsidRDefault="00DF6E8D" w:rsidP="00DF6E8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DF6E8D" w:rsidRDefault="00DF6E8D" w:rsidP="00DF6E8D">
            <w:pPr>
              <w:pStyle w:val="a6"/>
              <w:tabs>
                <w:tab w:val="left" w:pos="0"/>
              </w:tabs>
              <w:rPr>
                <w:i w:val="0"/>
              </w:rPr>
            </w:pPr>
          </w:p>
          <w:p w:rsidR="00DF6E8D" w:rsidRDefault="00DF6E8D" w:rsidP="00150D6F">
            <w:pPr>
              <w:pStyle w:val="a6"/>
              <w:tabs>
                <w:tab w:val="left" w:pos="0"/>
              </w:tabs>
            </w:pPr>
            <w:r w:rsidRPr="005171A4">
              <w:rPr>
                <w:i w:val="0"/>
              </w:rPr>
              <w:t>«</w:t>
            </w:r>
            <w:r w:rsidR="00150D6F">
              <w:rPr>
                <w:i w:val="0"/>
              </w:rPr>
              <w:t>11</w:t>
            </w:r>
            <w:r w:rsidRPr="005171A4">
              <w:rPr>
                <w:i w:val="0"/>
              </w:rPr>
              <w:t>»</w:t>
            </w:r>
            <w:r w:rsidRPr="00CF45A9">
              <w:rPr>
                <w:i w:val="0"/>
              </w:rPr>
              <w:t xml:space="preserve"> </w:t>
            </w:r>
            <w:r w:rsidR="00BF29D3">
              <w:rPr>
                <w:i w:val="0"/>
              </w:rPr>
              <w:t>июня</w:t>
            </w:r>
            <w:r w:rsidRPr="00CF45A9">
              <w:rPr>
                <w:i w:val="0"/>
              </w:rPr>
              <w:t xml:space="preserve"> 201</w:t>
            </w:r>
            <w:r>
              <w:rPr>
                <w:i w:val="0"/>
              </w:rPr>
              <w:t>4</w:t>
            </w:r>
            <w:r w:rsidRPr="00CF45A9">
              <w:rPr>
                <w:i w:val="0"/>
              </w:rPr>
              <w:t xml:space="preserve"> год</w:t>
            </w:r>
          </w:p>
        </w:tc>
        <w:tc>
          <w:tcPr>
            <w:tcW w:w="4111" w:type="dxa"/>
          </w:tcPr>
          <w:p w:rsidR="00DF6E8D" w:rsidRPr="004679A3" w:rsidRDefault="00DF6E8D" w:rsidP="00DF6E8D">
            <w:pPr>
              <w:jc w:val="right"/>
              <w:rPr>
                <w:szCs w:val="28"/>
              </w:rPr>
            </w:pPr>
          </w:p>
          <w:p w:rsidR="00DF6E8D" w:rsidRPr="004679A3" w:rsidRDefault="00DF6E8D" w:rsidP="00DF6E8D">
            <w:pPr>
              <w:jc w:val="right"/>
              <w:rPr>
                <w:szCs w:val="28"/>
              </w:rPr>
            </w:pPr>
          </w:p>
        </w:tc>
      </w:tr>
    </w:tbl>
    <w:p w:rsidR="00DF6E8D" w:rsidRPr="00483EF5" w:rsidRDefault="00DF6E8D" w:rsidP="00DF6E8D">
      <w:pPr>
        <w:rPr>
          <w:szCs w:val="28"/>
        </w:rPr>
        <w:sectPr w:rsidR="00DF6E8D" w:rsidRPr="00483EF5" w:rsidSect="00A179B6">
          <w:headerReference w:type="default" r:id="rId9"/>
          <w:pgSz w:w="11906" w:h="16838"/>
          <w:pgMar w:top="1135" w:right="851" w:bottom="993" w:left="1418" w:header="567" w:footer="0" w:gutter="0"/>
          <w:cols w:space="708"/>
          <w:titlePg/>
          <w:docGrid w:linePitch="381"/>
        </w:sectPr>
      </w:pPr>
    </w:p>
    <w:p w:rsidR="00150D6F" w:rsidRDefault="00150D6F" w:rsidP="000C124A">
      <w:pPr>
        <w:rPr>
          <w:sz w:val="22"/>
          <w:szCs w:val="22"/>
        </w:rPr>
      </w:pPr>
    </w:p>
    <w:p w:rsidR="000835AA" w:rsidRPr="00D02697" w:rsidRDefault="000835AA" w:rsidP="000835AA">
      <w:pPr>
        <w:jc w:val="right"/>
        <w:rPr>
          <w:sz w:val="22"/>
          <w:szCs w:val="22"/>
        </w:rPr>
      </w:pPr>
      <w:r w:rsidRPr="00417D1F">
        <w:rPr>
          <w:sz w:val="22"/>
          <w:szCs w:val="22"/>
        </w:rPr>
        <w:t xml:space="preserve">Приложение № </w:t>
      </w:r>
      <w:r>
        <w:rPr>
          <w:sz w:val="22"/>
          <w:szCs w:val="22"/>
        </w:rPr>
        <w:t>3</w:t>
      </w:r>
      <w:r w:rsidRPr="00D5177E">
        <w:rPr>
          <w:sz w:val="22"/>
          <w:szCs w:val="22"/>
        </w:rPr>
        <w:t xml:space="preserve"> </w:t>
      </w:r>
    </w:p>
    <w:p w:rsidR="000835AA" w:rsidRPr="00D02697" w:rsidRDefault="000835AA" w:rsidP="000835A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21</w:t>
      </w:r>
      <w:r w:rsidRPr="00D02697">
        <w:rPr>
          <w:sz w:val="22"/>
          <w:szCs w:val="22"/>
        </w:rPr>
        <w:t>/КК</w:t>
      </w:r>
    </w:p>
    <w:p w:rsidR="000835AA" w:rsidRPr="00D02697" w:rsidRDefault="000835AA" w:rsidP="000835AA">
      <w:pPr>
        <w:jc w:val="right"/>
        <w:outlineLvl w:val="0"/>
        <w:rPr>
          <w:bCs/>
          <w:sz w:val="22"/>
          <w:szCs w:val="22"/>
        </w:rPr>
      </w:pPr>
      <w:r w:rsidRPr="00D02697">
        <w:rPr>
          <w:bCs/>
          <w:sz w:val="22"/>
          <w:szCs w:val="22"/>
        </w:rPr>
        <w:t>заседания Конкурсной комиссии</w:t>
      </w:r>
    </w:p>
    <w:p w:rsidR="000835AA" w:rsidRPr="00D02697" w:rsidRDefault="000835AA" w:rsidP="000835AA">
      <w:pPr>
        <w:jc w:val="right"/>
        <w:rPr>
          <w:sz w:val="22"/>
          <w:szCs w:val="22"/>
        </w:rPr>
      </w:pPr>
      <w:r w:rsidRPr="00D02697">
        <w:rPr>
          <w:sz w:val="22"/>
          <w:szCs w:val="22"/>
        </w:rPr>
        <w:t>открытого акционерного общества</w:t>
      </w:r>
    </w:p>
    <w:p w:rsidR="000835AA" w:rsidRPr="00D02697" w:rsidRDefault="000835AA" w:rsidP="000835AA">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0835AA" w:rsidRDefault="000835AA" w:rsidP="000835AA">
      <w:pPr>
        <w:tabs>
          <w:tab w:val="left" w:pos="709"/>
        </w:tabs>
        <w:ind w:firstLine="709"/>
        <w:rPr>
          <w:snapToGrid w:val="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697">
        <w:rPr>
          <w:sz w:val="22"/>
          <w:szCs w:val="22"/>
        </w:rPr>
        <w:t xml:space="preserve">состоявшегося </w:t>
      </w:r>
      <w:r>
        <w:rPr>
          <w:sz w:val="22"/>
          <w:szCs w:val="22"/>
        </w:rPr>
        <w:t xml:space="preserve"> 20 мая </w:t>
      </w:r>
      <w:r w:rsidRPr="00D02697">
        <w:rPr>
          <w:sz w:val="22"/>
          <w:szCs w:val="22"/>
        </w:rPr>
        <w:t xml:space="preserve"> 201</w:t>
      </w:r>
      <w:r>
        <w:rPr>
          <w:sz w:val="22"/>
          <w:szCs w:val="22"/>
        </w:rPr>
        <w:t>4</w:t>
      </w:r>
      <w:r w:rsidRPr="00D02697">
        <w:rPr>
          <w:sz w:val="22"/>
          <w:szCs w:val="22"/>
        </w:rPr>
        <w:t xml:space="preserve"> года</w:t>
      </w:r>
    </w:p>
    <w:p w:rsidR="000835AA" w:rsidRDefault="000835AA" w:rsidP="00AE1AD0">
      <w:pPr>
        <w:jc w:val="right"/>
        <w:rPr>
          <w:sz w:val="22"/>
          <w:szCs w:val="22"/>
        </w:rPr>
      </w:pPr>
    </w:p>
    <w:p w:rsidR="000835AA" w:rsidRPr="00FF0294" w:rsidRDefault="000835AA" w:rsidP="002B7D61">
      <w:pPr>
        <w:jc w:val="center"/>
        <w:rPr>
          <w:b/>
          <w:bCs/>
          <w:sz w:val="24"/>
          <w:szCs w:val="24"/>
        </w:rPr>
      </w:pPr>
      <w:r w:rsidRPr="00FD33F0">
        <w:rPr>
          <w:b/>
          <w:sz w:val="24"/>
          <w:szCs w:val="24"/>
        </w:rPr>
        <w:t>Предельные с</w:t>
      </w:r>
      <w:r w:rsidRPr="00FD33F0">
        <w:rPr>
          <w:b/>
          <w:bCs/>
          <w:sz w:val="24"/>
          <w:szCs w:val="24"/>
        </w:rPr>
        <w:t>тавки</w:t>
      </w:r>
      <w:r w:rsidRPr="00FF0294">
        <w:rPr>
          <w:b/>
          <w:bCs/>
          <w:sz w:val="24"/>
          <w:szCs w:val="24"/>
        </w:rPr>
        <w:t xml:space="preserve"> платы за аренду транспортных средств с экипажем</w:t>
      </w:r>
    </w:p>
    <w:p w:rsidR="000835AA" w:rsidRPr="008D26FA" w:rsidRDefault="000835AA" w:rsidP="008D26FA">
      <w:pPr>
        <w:jc w:val="center"/>
        <w:rPr>
          <w:b/>
          <w:bCs/>
          <w:color w:val="000000"/>
          <w:sz w:val="24"/>
          <w:szCs w:val="24"/>
        </w:rPr>
      </w:pPr>
      <w:r w:rsidRPr="00FF0294">
        <w:rPr>
          <w:b/>
          <w:bCs/>
          <w:color w:val="000000"/>
          <w:sz w:val="24"/>
          <w:szCs w:val="24"/>
        </w:rPr>
        <w:t>Перевозка контейнеров в город</w:t>
      </w:r>
      <w:r>
        <w:rPr>
          <w:b/>
          <w:bCs/>
          <w:color w:val="000000"/>
          <w:sz w:val="24"/>
          <w:szCs w:val="24"/>
        </w:rPr>
        <w:t>е</w:t>
      </w:r>
      <w:r w:rsidR="00094E41">
        <w:rPr>
          <w:b/>
          <w:bCs/>
          <w:color w:val="000000"/>
          <w:sz w:val="24"/>
          <w:szCs w:val="24"/>
        </w:rPr>
        <w:t xml:space="preserve"> Кирове</w:t>
      </w:r>
    </w:p>
    <w:tbl>
      <w:tblPr>
        <w:tblW w:w="9923" w:type="dxa"/>
        <w:tblLook w:val="04A0"/>
      </w:tblPr>
      <w:tblGrid>
        <w:gridCol w:w="2836"/>
        <w:gridCol w:w="1276"/>
        <w:gridCol w:w="1276"/>
        <w:gridCol w:w="1133"/>
        <w:gridCol w:w="1211"/>
        <w:gridCol w:w="1134"/>
        <w:gridCol w:w="1057"/>
      </w:tblGrid>
      <w:tr w:rsidR="000835AA" w:rsidRPr="002B7D61" w:rsidTr="000C782D">
        <w:trPr>
          <w:trHeight w:val="78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5AA" w:rsidRPr="002B7D61" w:rsidRDefault="000835AA" w:rsidP="000C782D">
            <w:pPr>
              <w:jc w:val="center"/>
              <w:rPr>
                <w:sz w:val="19"/>
                <w:szCs w:val="19"/>
              </w:rPr>
            </w:pPr>
            <w:r w:rsidRPr="002B7D61">
              <w:rPr>
                <w:sz w:val="19"/>
                <w:szCs w:val="19"/>
              </w:rPr>
              <w:t>Наименование услуги</w:t>
            </w:r>
          </w:p>
        </w:tc>
        <w:tc>
          <w:tcPr>
            <w:tcW w:w="7087" w:type="dxa"/>
            <w:gridSpan w:val="6"/>
            <w:tcBorders>
              <w:top w:val="single" w:sz="4" w:space="0" w:color="auto"/>
              <w:left w:val="nil"/>
              <w:bottom w:val="single" w:sz="4" w:space="0" w:color="000000"/>
              <w:right w:val="single" w:sz="4" w:space="0" w:color="auto"/>
            </w:tcBorders>
            <w:shd w:val="clear" w:color="auto" w:fill="auto"/>
            <w:noWrap/>
            <w:vAlign w:val="bottom"/>
          </w:tcPr>
          <w:p w:rsidR="000835AA" w:rsidRPr="002B7D61" w:rsidRDefault="000835AA" w:rsidP="000C782D">
            <w:pPr>
              <w:jc w:val="center"/>
              <w:rPr>
                <w:sz w:val="19"/>
                <w:szCs w:val="19"/>
              </w:rPr>
            </w:pPr>
            <w:r w:rsidRPr="002B7D61">
              <w:rPr>
                <w:sz w:val="19"/>
                <w:szCs w:val="19"/>
              </w:rPr>
              <w:t xml:space="preserve">Предельные ставки арендной платы за 1 авторейс </w:t>
            </w:r>
          </w:p>
          <w:p w:rsidR="000835AA" w:rsidRPr="002B7D61" w:rsidRDefault="000835AA" w:rsidP="000C782D">
            <w:pPr>
              <w:jc w:val="center"/>
              <w:rPr>
                <w:bCs/>
                <w:sz w:val="19"/>
                <w:szCs w:val="19"/>
              </w:rPr>
            </w:pPr>
            <w:r w:rsidRPr="002B7D61">
              <w:rPr>
                <w:sz w:val="19"/>
                <w:szCs w:val="19"/>
              </w:rPr>
              <w:t>(без учета НДС)</w:t>
            </w:r>
          </w:p>
        </w:tc>
      </w:tr>
      <w:tr w:rsidR="000835AA" w:rsidRPr="002B7D61" w:rsidTr="000C782D">
        <w:trPr>
          <w:trHeight w:val="435"/>
        </w:trPr>
        <w:tc>
          <w:tcPr>
            <w:tcW w:w="2836" w:type="dxa"/>
            <w:vMerge w:val="restart"/>
            <w:tcBorders>
              <w:top w:val="single" w:sz="4" w:space="0" w:color="auto"/>
              <w:left w:val="single" w:sz="4" w:space="0" w:color="auto"/>
              <w:right w:val="single" w:sz="4" w:space="0" w:color="auto"/>
            </w:tcBorders>
            <w:shd w:val="clear" w:color="auto" w:fill="auto"/>
            <w:noWrap/>
            <w:vAlign w:val="bottom"/>
            <w:hideMark/>
          </w:tcPr>
          <w:p w:rsidR="000835AA" w:rsidRPr="002B7D61" w:rsidRDefault="000835AA" w:rsidP="000C782D">
            <w:pPr>
              <w:jc w:val="center"/>
              <w:rPr>
                <w:sz w:val="19"/>
                <w:szCs w:val="19"/>
              </w:rPr>
            </w:pPr>
            <w:r w:rsidRPr="002B7D61">
              <w:rPr>
                <w:bCs/>
                <w:sz w:val="19"/>
                <w:szCs w:val="19"/>
              </w:rPr>
              <w:t>Перевозка контейнера в городской черте согласно зональности автоперевозки</w:t>
            </w:r>
          </w:p>
        </w:tc>
        <w:tc>
          <w:tcPr>
            <w:tcW w:w="1276" w:type="dxa"/>
            <w:vMerge w:val="restart"/>
            <w:tcBorders>
              <w:top w:val="single" w:sz="4" w:space="0" w:color="auto"/>
              <w:left w:val="nil"/>
              <w:right w:val="single" w:sz="4" w:space="0" w:color="000000"/>
            </w:tcBorders>
            <w:shd w:val="clear" w:color="auto" w:fill="auto"/>
            <w:noWrap/>
            <w:vAlign w:val="bottom"/>
            <w:hideMark/>
          </w:tcPr>
          <w:p w:rsidR="000835AA" w:rsidRPr="002B7D61" w:rsidRDefault="000835AA" w:rsidP="000C782D">
            <w:pPr>
              <w:ind w:hanging="1"/>
              <w:jc w:val="center"/>
              <w:rPr>
                <w:bCs/>
                <w:sz w:val="19"/>
                <w:szCs w:val="19"/>
              </w:rPr>
            </w:pPr>
            <w:r w:rsidRPr="002B7D61">
              <w:rPr>
                <w:bCs/>
                <w:sz w:val="19"/>
                <w:szCs w:val="19"/>
              </w:rPr>
              <w:t>20 фут</w:t>
            </w:r>
          </w:p>
        </w:tc>
        <w:tc>
          <w:tcPr>
            <w:tcW w:w="1276" w:type="dxa"/>
            <w:vMerge w:val="restart"/>
            <w:tcBorders>
              <w:top w:val="single" w:sz="4" w:space="0" w:color="auto"/>
              <w:left w:val="nil"/>
              <w:right w:val="single" w:sz="4" w:space="0" w:color="auto"/>
            </w:tcBorders>
            <w:vAlign w:val="bottom"/>
          </w:tcPr>
          <w:p w:rsidR="000835AA" w:rsidRPr="002B7D61" w:rsidRDefault="000835AA" w:rsidP="000C782D">
            <w:pPr>
              <w:tabs>
                <w:tab w:val="left" w:pos="-1"/>
              </w:tabs>
              <w:ind w:hanging="1"/>
              <w:jc w:val="center"/>
              <w:rPr>
                <w:bCs/>
                <w:sz w:val="19"/>
                <w:szCs w:val="19"/>
              </w:rPr>
            </w:pPr>
            <w:r w:rsidRPr="002B7D61">
              <w:rPr>
                <w:bCs/>
                <w:sz w:val="19"/>
                <w:szCs w:val="19"/>
              </w:rPr>
              <w:t>40 фут</w:t>
            </w:r>
          </w:p>
        </w:tc>
        <w:tc>
          <w:tcPr>
            <w:tcW w:w="1133" w:type="dxa"/>
            <w:vMerge w:val="restart"/>
            <w:tcBorders>
              <w:top w:val="single" w:sz="4" w:space="0" w:color="auto"/>
              <w:left w:val="single" w:sz="4" w:space="0" w:color="auto"/>
              <w:right w:val="single" w:sz="4" w:space="0" w:color="auto"/>
            </w:tcBorders>
            <w:vAlign w:val="bottom"/>
          </w:tcPr>
          <w:p w:rsidR="000835AA" w:rsidRPr="002B7D61" w:rsidRDefault="000835AA" w:rsidP="000C782D">
            <w:pPr>
              <w:tabs>
                <w:tab w:val="left" w:pos="-1"/>
              </w:tabs>
              <w:ind w:hanging="1"/>
              <w:jc w:val="center"/>
              <w:rPr>
                <w:bCs/>
                <w:sz w:val="19"/>
                <w:szCs w:val="19"/>
              </w:rPr>
            </w:pPr>
            <w:r w:rsidRPr="002B7D61">
              <w:rPr>
                <w:bCs/>
                <w:sz w:val="19"/>
                <w:szCs w:val="19"/>
              </w:rPr>
              <w:t>3-х тонный</w:t>
            </w:r>
          </w:p>
        </w:tc>
        <w:tc>
          <w:tcPr>
            <w:tcW w:w="1211" w:type="dxa"/>
            <w:vMerge w:val="restart"/>
            <w:tcBorders>
              <w:top w:val="single" w:sz="4" w:space="0" w:color="auto"/>
              <w:left w:val="single" w:sz="4" w:space="0" w:color="auto"/>
              <w:right w:val="single" w:sz="4" w:space="0" w:color="auto"/>
            </w:tcBorders>
            <w:vAlign w:val="bottom"/>
          </w:tcPr>
          <w:p w:rsidR="000835AA" w:rsidRPr="002B7D61" w:rsidRDefault="000835AA" w:rsidP="000C782D">
            <w:pPr>
              <w:tabs>
                <w:tab w:val="left" w:pos="-1"/>
              </w:tabs>
              <w:jc w:val="center"/>
              <w:rPr>
                <w:bCs/>
                <w:sz w:val="19"/>
                <w:szCs w:val="19"/>
              </w:rPr>
            </w:pPr>
            <w:r w:rsidRPr="002B7D61">
              <w:rPr>
                <w:bCs/>
                <w:sz w:val="19"/>
                <w:szCs w:val="19"/>
              </w:rPr>
              <w:t>5-и тонный</w:t>
            </w:r>
          </w:p>
        </w:tc>
        <w:tc>
          <w:tcPr>
            <w:tcW w:w="2191" w:type="dxa"/>
            <w:gridSpan w:val="2"/>
            <w:tcBorders>
              <w:top w:val="single" w:sz="4" w:space="0" w:color="auto"/>
              <w:left w:val="single" w:sz="4" w:space="0" w:color="auto"/>
              <w:bottom w:val="single" w:sz="4" w:space="0" w:color="auto"/>
              <w:right w:val="single" w:sz="4" w:space="0" w:color="auto"/>
            </w:tcBorders>
            <w:vAlign w:val="bottom"/>
          </w:tcPr>
          <w:p w:rsidR="000835AA" w:rsidRPr="002B7D61" w:rsidRDefault="000835AA" w:rsidP="000C782D">
            <w:pPr>
              <w:tabs>
                <w:tab w:val="left" w:pos="-1"/>
              </w:tabs>
              <w:jc w:val="center"/>
              <w:rPr>
                <w:bCs/>
                <w:sz w:val="19"/>
                <w:szCs w:val="19"/>
              </w:rPr>
            </w:pPr>
            <w:r w:rsidRPr="002B7D61">
              <w:rPr>
                <w:bCs/>
                <w:sz w:val="19"/>
                <w:szCs w:val="19"/>
              </w:rPr>
              <w:t>При работе с отцепкой</w:t>
            </w:r>
          </w:p>
        </w:tc>
      </w:tr>
      <w:tr w:rsidR="000835AA" w:rsidRPr="002B7D61" w:rsidTr="000C782D">
        <w:trPr>
          <w:trHeight w:val="653"/>
        </w:trPr>
        <w:tc>
          <w:tcPr>
            <w:tcW w:w="2836" w:type="dxa"/>
            <w:vMerge/>
            <w:tcBorders>
              <w:left w:val="single" w:sz="4" w:space="0" w:color="auto"/>
              <w:bottom w:val="single" w:sz="4" w:space="0" w:color="auto"/>
              <w:right w:val="single" w:sz="4" w:space="0" w:color="auto"/>
            </w:tcBorders>
            <w:shd w:val="clear" w:color="auto" w:fill="auto"/>
            <w:noWrap/>
            <w:vAlign w:val="bottom"/>
          </w:tcPr>
          <w:p w:rsidR="000835AA" w:rsidRPr="002B7D61" w:rsidRDefault="000835AA" w:rsidP="000C782D">
            <w:pPr>
              <w:jc w:val="center"/>
              <w:rPr>
                <w:bCs/>
                <w:sz w:val="19"/>
                <w:szCs w:val="19"/>
              </w:rPr>
            </w:pPr>
          </w:p>
        </w:tc>
        <w:tc>
          <w:tcPr>
            <w:tcW w:w="1276" w:type="dxa"/>
            <w:vMerge/>
            <w:tcBorders>
              <w:left w:val="nil"/>
              <w:bottom w:val="single" w:sz="4" w:space="0" w:color="000000"/>
              <w:right w:val="single" w:sz="4" w:space="0" w:color="000000"/>
            </w:tcBorders>
            <w:shd w:val="clear" w:color="auto" w:fill="auto"/>
            <w:noWrap/>
            <w:vAlign w:val="bottom"/>
          </w:tcPr>
          <w:p w:rsidR="000835AA" w:rsidRPr="002B7D61" w:rsidRDefault="000835AA" w:rsidP="000C782D">
            <w:pPr>
              <w:ind w:hanging="1"/>
              <w:jc w:val="center"/>
              <w:rPr>
                <w:bCs/>
                <w:sz w:val="19"/>
                <w:szCs w:val="19"/>
              </w:rPr>
            </w:pPr>
          </w:p>
        </w:tc>
        <w:tc>
          <w:tcPr>
            <w:tcW w:w="1276" w:type="dxa"/>
            <w:vMerge/>
            <w:tcBorders>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bCs/>
                <w:sz w:val="19"/>
                <w:szCs w:val="19"/>
              </w:rPr>
            </w:pPr>
          </w:p>
        </w:tc>
        <w:tc>
          <w:tcPr>
            <w:tcW w:w="1133" w:type="dxa"/>
            <w:vMerge/>
            <w:tcBorders>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bCs/>
                <w:sz w:val="19"/>
                <w:szCs w:val="19"/>
              </w:rPr>
            </w:pPr>
          </w:p>
        </w:tc>
        <w:tc>
          <w:tcPr>
            <w:tcW w:w="1211" w:type="dxa"/>
            <w:vMerge/>
            <w:tcBorders>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bCs/>
                <w:sz w:val="19"/>
                <w:szCs w:val="19"/>
              </w:rPr>
            </w:pPr>
          </w:p>
        </w:tc>
        <w:tc>
          <w:tcPr>
            <w:tcW w:w="1134" w:type="dxa"/>
            <w:tcBorders>
              <w:top w:val="single" w:sz="4" w:space="0" w:color="auto"/>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bCs/>
                <w:sz w:val="19"/>
                <w:szCs w:val="19"/>
              </w:rPr>
            </w:pPr>
            <w:r w:rsidRPr="002B7D61">
              <w:rPr>
                <w:bCs/>
                <w:sz w:val="19"/>
                <w:szCs w:val="19"/>
              </w:rPr>
              <w:t>20 фут</w:t>
            </w:r>
          </w:p>
        </w:tc>
        <w:tc>
          <w:tcPr>
            <w:tcW w:w="1057" w:type="dxa"/>
            <w:tcBorders>
              <w:top w:val="single" w:sz="4" w:space="0" w:color="auto"/>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bCs/>
                <w:sz w:val="19"/>
                <w:szCs w:val="19"/>
              </w:rPr>
            </w:pPr>
            <w:r w:rsidRPr="002B7D61">
              <w:rPr>
                <w:bCs/>
                <w:sz w:val="19"/>
                <w:szCs w:val="19"/>
              </w:rPr>
              <w:t>40 фут</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1     (от 1 до 5 км)</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2849</w:t>
            </w:r>
          </w:p>
        </w:tc>
        <w:tc>
          <w:tcPr>
            <w:tcW w:w="1276" w:type="dxa"/>
            <w:tcBorders>
              <w:top w:val="single" w:sz="4" w:space="0" w:color="000000"/>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3828</w:t>
            </w:r>
          </w:p>
        </w:tc>
        <w:tc>
          <w:tcPr>
            <w:tcW w:w="1133"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846</w:t>
            </w:r>
          </w:p>
        </w:tc>
        <w:tc>
          <w:tcPr>
            <w:tcW w:w="1211"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1387</w:t>
            </w:r>
          </w:p>
        </w:tc>
        <w:tc>
          <w:tcPr>
            <w:tcW w:w="1134"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1517</w:t>
            </w:r>
          </w:p>
        </w:tc>
        <w:tc>
          <w:tcPr>
            <w:tcW w:w="1057"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2331</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2   (от 6 до 10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3069</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4070</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1159</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1709</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2127</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2963</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3 (от 11 до 15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3388</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4356</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1473</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2032</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2886</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3689</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4 (от 16 до 20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3575</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4598</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1786</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2354</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3722</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4580</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5 (от 21 до 25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4565</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5170</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2100</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2676</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4932</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5372</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6 (от 26 до 30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5082</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5731</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2413</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2999</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5724</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6208</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7 (от 31 до 35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5610</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6314</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2727</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3321</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6637</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7176</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rPr>
                <w:sz w:val="19"/>
                <w:szCs w:val="19"/>
              </w:rPr>
            </w:pPr>
            <w:r w:rsidRPr="002B7D61">
              <w:rPr>
                <w:sz w:val="19"/>
                <w:szCs w:val="19"/>
              </w:rPr>
              <w:t>Зона № 8 (от 36 до 40 км)</w:t>
            </w:r>
          </w:p>
        </w:tc>
        <w:tc>
          <w:tcPr>
            <w:tcW w:w="1276" w:type="dxa"/>
            <w:tcBorders>
              <w:top w:val="nil"/>
              <w:left w:val="nil"/>
              <w:bottom w:val="single" w:sz="4" w:space="0" w:color="000000"/>
              <w:right w:val="single" w:sz="4" w:space="0" w:color="000000"/>
            </w:tcBorders>
            <w:shd w:val="clear" w:color="auto" w:fill="auto"/>
            <w:noWrap/>
            <w:vAlign w:val="bottom"/>
            <w:hideMark/>
          </w:tcPr>
          <w:p w:rsidR="000835AA" w:rsidRPr="002B7D61" w:rsidRDefault="000835AA" w:rsidP="000C782D">
            <w:pPr>
              <w:ind w:hanging="1"/>
              <w:jc w:val="center"/>
              <w:rPr>
                <w:sz w:val="19"/>
                <w:szCs w:val="19"/>
              </w:rPr>
            </w:pPr>
            <w:r w:rsidRPr="002B7D61">
              <w:rPr>
                <w:sz w:val="19"/>
                <w:szCs w:val="19"/>
              </w:rPr>
              <w:t>5775</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6435</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3040</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3643</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7561</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8056</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tcPr>
          <w:p w:rsidR="000835AA" w:rsidRPr="002B7D61" w:rsidRDefault="000835AA" w:rsidP="000C782D">
            <w:pPr>
              <w:rPr>
                <w:sz w:val="19"/>
                <w:szCs w:val="19"/>
              </w:rPr>
            </w:pPr>
            <w:r w:rsidRPr="002B7D61">
              <w:rPr>
                <w:sz w:val="19"/>
                <w:szCs w:val="19"/>
              </w:rPr>
              <w:t>Норма простоя под загрузкой/разгрузкой, час</w:t>
            </w:r>
          </w:p>
        </w:tc>
        <w:tc>
          <w:tcPr>
            <w:tcW w:w="1276"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ind w:hanging="1"/>
              <w:jc w:val="center"/>
              <w:rPr>
                <w:sz w:val="19"/>
                <w:szCs w:val="19"/>
              </w:rPr>
            </w:pPr>
            <w:r w:rsidRPr="002B7D61">
              <w:rPr>
                <w:sz w:val="19"/>
                <w:szCs w:val="19"/>
              </w:rPr>
              <w:t>2,5</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3,5</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1,0</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1,5</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4,0</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5,0</w:t>
            </w:r>
          </w:p>
        </w:tc>
      </w:tr>
      <w:tr w:rsidR="000835AA" w:rsidRPr="002B7D61" w:rsidTr="000C782D">
        <w:trPr>
          <w:trHeight w:val="285"/>
        </w:trPr>
        <w:tc>
          <w:tcPr>
            <w:tcW w:w="2836" w:type="dxa"/>
            <w:tcBorders>
              <w:top w:val="nil"/>
              <w:left w:val="single" w:sz="4" w:space="0" w:color="000000"/>
              <w:bottom w:val="single" w:sz="4" w:space="0" w:color="000000"/>
              <w:right w:val="single" w:sz="4" w:space="0" w:color="000000"/>
            </w:tcBorders>
            <w:shd w:val="clear" w:color="auto" w:fill="auto"/>
            <w:noWrap/>
            <w:vAlign w:val="bottom"/>
          </w:tcPr>
          <w:p w:rsidR="000835AA" w:rsidRPr="002B7D61" w:rsidRDefault="000835AA" w:rsidP="000C782D">
            <w:pPr>
              <w:rPr>
                <w:sz w:val="19"/>
                <w:szCs w:val="19"/>
              </w:rPr>
            </w:pPr>
            <w:r w:rsidRPr="002B7D61">
              <w:rPr>
                <w:sz w:val="19"/>
                <w:szCs w:val="19"/>
              </w:rPr>
              <w:t>Ставки сверхнормативного простоя под загрузкой/разгрузкой, руб/час</w:t>
            </w:r>
          </w:p>
        </w:tc>
        <w:tc>
          <w:tcPr>
            <w:tcW w:w="1276"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ind w:hanging="1"/>
              <w:jc w:val="center"/>
              <w:rPr>
                <w:bCs/>
                <w:sz w:val="19"/>
                <w:szCs w:val="19"/>
              </w:rPr>
            </w:pPr>
            <w:r w:rsidRPr="002B7D61">
              <w:rPr>
                <w:bCs/>
                <w:sz w:val="19"/>
                <w:szCs w:val="19"/>
              </w:rPr>
              <w:t xml:space="preserve">618 </w:t>
            </w:r>
          </w:p>
        </w:tc>
        <w:tc>
          <w:tcPr>
            <w:tcW w:w="1276" w:type="dxa"/>
            <w:tcBorders>
              <w:top w:val="nil"/>
              <w:left w:val="nil"/>
              <w:bottom w:val="single" w:sz="4" w:space="0" w:color="000000"/>
              <w:right w:val="single" w:sz="4" w:space="0" w:color="auto"/>
            </w:tcBorders>
            <w:vAlign w:val="bottom"/>
          </w:tcPr>
          <w:p w:rsidR="000835AA" w:rsidRPr="002B7D61" w:rsidRDefault="000835AA" w:rsidP="000C782D">
            <w:pPr>
              <w:tabs>
                <w:tab w:val="left" w:pos="-1"/>
              </w:tabs>
              <w:ind w:hanging="1"/>
              <w:jc w:val="center"/>
              <w:rPr>
                <w:bCs/>
                <w:sz w:val="19"/>
                <w:szCs w:val="19"/>
              </w:rPr>
            </w:pPr>
            <w:r w:rsidRPr="002B7D61">
              <w:rPr>
                <w:bCs/>
                <w:sz w:val="19"/>
                <w:szCs w:val="19"/>
              </w:rPr>
              <w:t xml:space="preserve">634 </w:t>
            </w:r>
          </w:p>
        </w:tc>
        <w:tc>
          <w:tcPr>
            <w:tcW w:w="1133"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ind w:hanging="1"/>
              <w:jc w:val="center"/>
              <w:rPr>
                <w:sz w:val="19"/>
                <w:szCs w:val="19"/>
              </w:rPr>
            </w:pPr>
            <w:r w:rsidRPr="002B7D61">
              <w:rPr>
                <w:sz w:val="19"/>
                <w:szCs w:val="19"/>
              </w:rPr>
              <w:t xml:space="preserve">532 </w:t>
            </w:r>
          </w:p>
        </w:tc>
        <w:tc>
          <w:tcPr>
            <w:tcW w:w="1211"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 xml:space="preserve">532 </w:t>
            </w:r>
          </w:p>
        </w:tc>
        <w:tc>
          <w:tcPr>
            <w:tcW w:w="1134"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 xml:space="preserve">88 </w:t>
            </w:r>
          </w:p>
        </w:tc>
        <w:tc>
          <w:tcPr>
            <w:tcW w:w="1057" w:type="dxa"/>
            <w:tcBorders>
              <w:top w:val="nil"/>
              <w:left w:val="single" w:sz="4" w:space="0" w:color="auto"/>
              <w:bottom w:val="single" w:sz="4" w:space="0" w:color="000000"/>
              <w:right w:val="single" w:sz="4" w:space="0" w:color="auto"/>
            </w:tcBorders>
            <w:vAlign w:val="bottom"/>
          </w:tcPr>
          <w:p w:rsidR="000835AA" w:rsidRPr="002B7D61" w:rsidRDefault="000835AA" w:rsidP="000C782D">
            <w:pPr>
              <w:tabs>
                <w:tab w:val="left" w:pos="-1"/>
              </w:tabs>
              <w:jc w:val="center"/>
              <w:rPr>
                <w:sz w:val="19"/>
                <w:szCs w:val="19"/>
              </w:rPr>
            </w:pPr>
            <w:r w:rsidRPr="002B7D61">
              <w:rPr>
                <w:sz w:val="19"/>
                <w:szCs w:val="19"/>
              </w:rPr>
              <w:t>110</w:t>
            </w:r>
          </w:p>
        </w:tc>
      </w:tr>
    </w:tbl>
    <w:p w:rsidR="000835AA" w:rsidRPr="00C71032" w:rsidRDefault="000835AA" w:rsidP="008D26FA">
      <w:pPr>
        <w:jc w:val="center"/>
        <w:rPr>
          <w:b/>
          <w:bCs/>
          <w:color w:val="000000"/>
          <w:sz w:val="24"/>
          <w:szCs w:val="24"/>
        </w:rPr>
      </w:pPr>
      <w:r w:rsidRPr="00C71032">
        <w:rPr>
          <w:b/>
          <w:bCs/>
          <w:color w:val="000000"/>
          <w:sz w:val="24"/>
          <w:szCs w:val="24"/>
        </w:rPr>
        <w:t xml:space="preserve">Перевозка контейнеров </w:t>
      </w:r>
      <w:r>
        <w:rPr>
          <w:b/>
          <w:bCs/>
          <w:color w:val="000000"/>
          <w:sz w:val="24"/>
          <w:szCs w:val="24"/>
        </w:rPr>
        <w:t>в прилегающих районах</w:t>
      </w:r>
    </w:p>
    <w:tbl>
      <w:tblPr>
        <w:tblW w:w="9949" w:type="dxa"/>
        <w:tblInd w:w="-34" w:type="dxa"/>
        <w:tblLayout w:type="fixed"/>
        <w:tblLook w:val="04A0"/>
      </w:tblPr>
      <w:tblGrid>
        <w:gridCol w:w="3269"/>
        <w:gridCol w:w="1563"/>
        <w:gridCol w:w="1280"/>
        <w:gridCol w:w="1421"/>
        <w:gridCol w:w="2416"/>
      </w:tblGrid>
      <w:tr w:rsidR="000835AA" w:rsidRPr="002B7D61" w:rsidTr="00150D6F">
        <w:trPr>
          <w:trHeight w:val="233"/>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5AA" w:rsidRPr="002B7D61" w:rsidRDefault="000835AA" w:rsidP="000C782D">
            <w:pPr>
              <w:ind w:firstLine="34"/>
              <w:jc w:val="center"/>
              <w:rPr>
                <w:sz w:val="19"/>
                <w:szCs w:val="19"/>
              </w:rPr>
            </w:pPr>
            <w:r w:rsidRPr="002B7D61">
              <w:rPr>
                <w:sz w:val="19"/>
                <w:szCs w:val="19"/>
              </w:rPr>
              <w:t>Наименование услуги</w:t>
            </w:r>
          </w:p>
        </w:tc>
        <w:tc>
          <w:tcPr>
            <w:tcW w:w="6680" w:type="dxa"/>
            <w:gridSpan w:val="4"/>
            <w:tcBorders>
              <w:top w:val="single" w:sz="4" w:space="0" w:color="auto"/>
              <w:left w:val="nil"/>
              <w:bottom w:val="single" w:sz="4" w:space="0" w:color="000000"/>
              <w:right w:val="single" w:sz="4" w:space="0" w:color="auto"/>
            </w:tcBorders>
            <w:shd w:val="clear" w:color="auto" w:fill="auto"/>
            <w:noWrap/>
            <w:vAlign w:val="bottom"/>
          </w:tcPr>
          <w:p w:rsidR="000835AA" w:rsidRPr="002B7D61" w:rsidRDefault="000835AA" w:rsidP="000C782D">
            <w:pPr>
              <w:jc w:val="center"/>
              <w:rPr>
                <w:sz w:val="19"/>
                <w:szCs w:val="19"/>
              </w:rPr>
            </w:pPr>
            <w:r w:rsidRPr="002B7D61">
              <w:rPr>
                <w:sz w:val="19"/>
                <w:szCs w:val="19"/>
              </w:rPr>
              <w:t xml:space="preserve">Предельные ставки арендной платы за 1 авторейс </w:t>
            </w:r>
          </w:p>
          <w:p w:rsidR="000835AA" w:rsidRPr="002B7D61" w:rsidRDefault="000835AA" w:rsidP="000C782D">
            <w:pPr>
              <w:jc w:val="center"/>
              <w:rPr>
                <w:bCs/>
                <w:sz w:val="19"/>
                <w:szCs w:val="19"/>
              </w:rPr>
            </w:pPr>
            <w:r w:rsidRPr="002B7D61">
              <w:rPr>
                <w:sz w:val="19"/>
                <w:szCs w:val="19"/>
              </w:rPr>
              <w:t>(без учета НДС)</w:t>
            </w:r>
          </w:p>
        </w:tc>
      </w:tr>
      <w:tr w:rsidR="000835AA" w:rsidRPr="002B7D61" w:rsidTr="00150D6F">
        <w:trPr>
          <w:trHeight w:val="1009"/>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5AA" w:rsidRPr="002B7D61" w:rsidRDefault="000835AA" w:rsidP="000C782D">
            <w:pPr>
              <w:ind w:firstLine="34"/>
              <w:jc w:val="center"/>
              <w:rPr>
                <w:sz w:val="19"/>
                <w:szCs w:val="19"/>
              </w:rPr>
            </w:pPr>
            <w:r w:rsidRPr="002B7D61">
              <w:rPr>
                <w:bCs/>
                <w:sz w:val="19"/>
                <w:szCs w:val="19"/>
              </w:rPr>
              <w:t>Перевозка контейнера в междугородном сообщении согласно зональности автоперевозки</w:t>
            </w:r>
          </w:p>
        </w:tc>
        <w:tc>
          <w:tcPr>
            <w:tcW w:w="1563" w:type="dxa"/>
            <w:tcBorders>
              <w:top w:val="single" w:sz="4" w:space="0" w:color="auto"/>
              <w:left w:val="nil"/>
              <w:right w:val="single" w:sz="4" w:space="0" w:color="000000"/>
            </w:tcBorders>
            <w:shd w:val="clear" w:color="auto" w:fill="auto"/>
            <w:noWrap/>
            <w:vAlign w:val="bottom"/>
            <w:hideMark/>
          </w:tcPr>
          <w:p w:rsidR="000835AA" w:rsidRPr="002B7D61" w:rsidRDefault="000835AA" w:rsidP="000C782D">
            <w:pPr>
              <w:jc w:val="center"/>
              <w:rPr>
                <w:bCs/>
                <w:sz w:val="19"/>
                <w:szCs w:val="19"/>
              </w:rPr>
            </w:pPr>
            <w:r w:rsidRPr="002B7D61">
              <w:rPr>
                <w:bCs/>
                <w:sz w:val="19"/>
                <w:szCs w:val="19"/>
              </w:rPr>
              <w:t>20 фут</w:t>
            </w:r>
          </w:p>
        </w:tc>
        <w:tc>
          <w:tcPr>
            <w:tcW w:w="1280" w:type="dxa"/>
            <w:tcBorders>
              <w:top w:val="single" w:sz="4" w:space="0" w:color="auto"/>
              <w:left w:val="nil"/>
              <w:right w:val="single" w:sz="4" w:space="0" w:color="auto"/>
            </w:tcBorders>
            <w:vAlign w:val="bottom"/>
          </w:tcPr>
          <w:p w:rsidR="000835AA" w:rsidRPr="002B7D61" w:rsidRDefault="000835AA" w:rsidP="000C782D">
            <w:pPr>
              <w:jc w:val="center"/>
              <w:rPr>
                <w:bCs/>
                <w:sz w:val="19"/>
                <w:szCs w:val="19"/>
              </w:rPr>
            </w:pPr>
            <w:r w:rsidRPr="002B7D61">
              <w:rPr>
                <w:bCs/>
                <w:sz w:val="19"/>
                <w:szCs w:val="19"/>
              </w:rPr>
              <w:t>40 фут</w:t>
            </w:r>
          </w:p>
        </w:tc>
        <w:tc>
          <w:tcPr>
            <w:tcW w:w="1421" w:type="dxa"/>
            <w:tcBorders>
              <w:top w:val="single" w:sz="4" w:space="0" w:color="auto"/>
              <w:left w:val="single" w:sz="4" w:space="0" w:color="auto"/>
              <w:right w:val="single" w:sz="4" w:space="0" w:color="auto"/>
            </w:tcBorders>
            <w:vAlign w:val="bottom"/>
          </w:tcPr>
          <w:p w:rsidR="000835AA" w:rsidRPr="002B7D61" w:rsidRDefault="000835AA" w:rsidP="000C782D">
            <w:pPr>
              <w:jc w:val="center"/>
              <w:rPr>
                <w:bCs/>
                <w:sz w:val="19"/>
                <w:szCs w:val="19"/>
              </w:rPr>
            </w:pPr>
            <w:r w:rsidRPr="002B7D61">
              <w:rPr>
                <w:bCs/>
                <w:sz w:val="19"/>
                <w:szCs w:val="19"/>
              </w:rPr>
              <w:t>3-х тонный</w:t>
            </w:r>
          </w:p>
        </w:tc>
        <w:tc>
          <w:tcPr>
            <w:tcW w:w="2416" w:type="dxa"/>
            <w:tcBorders>
              <w:top w:val="single" w:sz="4" w:space="0" w:color="auto"/>
              <w:left w:val="single" w:sz="4" w:space="0" w:color="auto"/>
              <w:right w:val="single" w:sz="4" w:space="0" w:color="auto"/>
            </w:tcBorders>
            <w:vAlign w:val="bottom"/>
          </w:tcPr>
          <w:p w:rsidR="000835AA" w:rsidRPr="002B7D61" w:rsidRDefault="000835AA" w:rsidP="000C782D">
            <w:pPr>
              <w:jc w:val="center"/>
              <w:rPr>
                <w:bCs/>
                <w:sz w:val="19"/>
                <w:szCs w:val="19"/>
              </w:rPr>
            </w:pPr>
            <w:r w:rsidRPr="002B7D61">
              <w:rPr>
                <w:bCs/>
                <w:sz w:val="19"/>
                <w:szCs w:val="19"/>
              </w:rPr>
              <w:t>5-и тонный</w:t>
            </w:r>
          </w:p>
        </w:tc>
      </w:tr>
      <w:tr w:rsidR="000835AA" w:rsidRPr="002B7D61" w:rsidTr="00150D6F">
        <w:trPr>
          <w:trHeight w:val="261"/>
        </w:trPr>
        <w:tc>
          <w:tcPr>
            <w:tcW w:w="326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1         (44 км)</w:t>
            </w:r>
          </w:p>
        </w:tc>
        <w:tc>
          <w:tcPr>
            <w:tcW w:w="1563" w:type="dxa"/>
            <w:tcBorders>
              <w:top w:val="single" w:sz="4" w:space="0" w:color="000000"/>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5115</w:t>
            </w:r>
          </w:p>
        </w:tc>
        <w:tc>
          <w:tcPr>
            <w:tcW w:w="1280" w:type="dxa"/>
            <w:tcBorders>
              <w:top w:val="single" w:sz="4" w:space="0" w:color="000000"/>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5819</w:t>
            </w:r>
          </w:p>
        </w:tc>
        <w:tc>
          <w:tcPr>
            <w:tcW w:w="1421"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2220</w:t>
            </w:r>
          </w:p>
        </w:tc>
        <w:tc>
          <w:tcPr>
            <w:tcW w:w="2416" w:type="dxa"/>
            <w:tcBorders>
              <w:top w:val="single" w:sz="4" w:space="0" w:color="000000"/>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2822</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2         (45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5192</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5896</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2258</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2862</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3         (50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5544</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6292</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2450</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3061</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4 (от 60 до 63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6490</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7326</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2948</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3581</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5         (78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7568</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8525</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3523</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4179</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6  (от 85 до 88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8294</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9317</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3907</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4578</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7  (от 94 до 99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9086</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10197</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4329</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5018</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hideMark/>
          </w:tcPr>
          <w:p w:rsidR="000835AA" w:rsidRPr="002B7D61" w:rsidRDefault="000835AA" w:rsidP="000C782D">
            <w:pPr>
              <w:ind w:firstLine="34"/>
              <w:rPr>
                <w:sz w:val="19"/>
                <w:szCs w:val="19"/>
              </w:rPr>
            </w:pPr>
            <w:r w:rsidRPr="002B7D61">
              <w:rPr>
                <w:sz w:val="19"/>
                <w:szCs w:val="19"/>
              </w:rPr>
              <w:t>Зона № 8 (от 130 до 135км)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11693</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13057</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5709</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6456</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tcPr>
          <w:p w:rsidR="000835AA" w:rsidRPr="002B7D61" w:rsidRDefault="000835AA" w:rsidP="000C782D">
            <w:pPr>
              <w:ind w:firstLine="34"/>
              <w:rPr>
                <w:sz w:val="19"/>
                <w:szCs w:val="19"/>
              </w:rPr>
            </w:pPr>
            <w:r w:rsidRPr="002B7D61">
              <w:rPr>
                <w:sz w:val="19"/>
                <w:szCs w:val="19"/>
              </w:rPr>
              <w:t>Зона № 9 (от 146 до 186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bCs/>
                <w:sz w:val="19"/>
                <w:szCs w:val="19"/>
              </w:rPr>
            </w:pPr>
            <w:r w:rsidRPr="002B7D61">
              <w:rPr>
                <w:bCs/>
                <w:sz w:val="19"/>
                <w:szCs w:val="19"/>
              </w:rPr>
              <w:t>15367</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bCs/>
                <w:sz w:val="19"/>
                <w:szCs w:val="19"/>
              </w:rPr>
            </w:pPr>
            <w:r w:rsidRPr="002B7D61">
              <w:rPr>
                <w:bCs/>
                <w:sz w:val="19"/>
                <w:szCs w:val="19"/>
              </w:rPr>
              <w:t>17116</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7665</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8492</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tcPr>
          <w:p w:rsidR="000835AA" w:rsidRPr="002B7D61" w:rsidRDefault="000835AA" w:rsidP="000C782D">
            <w:pPr>
              <w:ind w:firstLine="34"/>
              <w:rPr>
                <w:sz w:val="19"/>
                <w:szCs w:val="19"/>
              </w:rPr>
            </w:pPr>
            <w:r w:rsidRPr="002B7D61">
              <w:rPr>
                <w:sz w:val="19"/>
                <w:szCs w:val="19"/>
              </w:rPr>
              <w:t>Зона № 10        (197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16170</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17996</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8086</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8931</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tcPr>
          <w:p w:rsidR="000835AA" w:rsidRPr="002B7D61" w:rsidRDefault="000835AA" w:rsidP="000C782D">
            <w:pPr>
              <w:ind w:firstLine="34"/>
              <w:rPr>
                <w:sz w:val="19"/>
                <w:szCs w:val="19"/>
              </w:rPr>
            </w:pPr>
            <w:r w:rsidRPr="002B7D61">
              <w:rPr>
                <w:sz w:val="19"/>
                <w:szCs w:val="19"/>
              </w:rPr>
              <w:t>Зона № 11         (216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17545</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19503</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8815</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9690</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tcPr>
          <w:p w:rsidR="000835AA" w:rsidRPr="002B7D61" w:rsidRDefault="000835AA" w:rsidP="000C782D">
            <w:pPr>
              <w:ind w:firstLine="34"/>
              <w:rPr>
                <w:sz w:val="19"/>
                <w:szCs w:val="19"/>
              </w:rPr>
            </w:pPr>
            <w:r w:rsidRPr="002B7D61">
              <w:rPr>
                <w:sz w:val="19"/>
                <w:szCs w:val="19"/>
              </w:rPr>
              <w:t>Зона № 12         (230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19030</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21153</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9352</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10249</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tcPr>
          <w:p w:rsidR="000835AA" w:rsidRPr="002B7D61" w:rsidRDefault="000835AA" w:rsidP="000C782D">
            <w:pPr>
              <w:ind w:firstLine="34"/>
              <w:rPr>
                <w:sz w:val="19"/>
                <w:szCs w:val="19"/>
              </w:rPr>
            </w:pPr>
            <w:r w:rsidRPr="002B7D61">
              <w:rPr>
                <w:sz w:val="19"/>
                <w:szCs w:val="19"/>
              </w:rPr>
              <w:t>Зона № 13        (460 км)</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28000</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30000</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tcPr>
          <w:p w:rsidR="000835AA" w:rsidRPr="002B7D61" w:rsidRDefault="000835AA" w:rsidP="000C782D">
            <w:pPr>
              <w:ind w:firstLine="34"/>
              <w:rPr>
                <w:sz w:val="19"/>
                <w:szCs w:val="19"/>
              </w:rPr>
            </w:pPr>
            <w:r w:rsidRPr="002B7D61">
              <w:rPr>
                <w:sz w:val="19"/>
                <w:szCs w:val="19"/>
              </w:rPr>
              <w:t>Норма простоя под загрузкой/разгрузкой, час</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sz w:val="19"/>
                <w:szCs w:val="19"/>
              </w:rPr>
            </w:pPr>
            <w:r w:rsidRPr="002B7D61">
              <w:rPr>
                <w:sz w:val="19"/>
                <w:szCs w:val="19"/>
              </w:rPr>
              <w:t>2,5</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3,5</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1,0</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1,5</w:t>
            </w:r>
          </w:p>
        </w:tc>
      </w:tr>
      <w:tr w:rsidR="000835AA" w:rsidRPr="002B7D61" w:rsidTr="00150D6F">
        <w:trPr>
          <w:trHeight w:val="261"/>
        </w:trPr>
        <w:tc>
          <w:tcPr>
            <w:tcW w:w="3269" w:type="dxa"/>
            <w:tcBorders>
              <w:top w:val="nil"/>
              <w:left w:val="single" w:sz="4" w:space="0" w:color="000000"/>
              <w:bottom w:val="single" w:sz="4" w:space="0" w:color="000000"/>
              <w:right w:val="single" w:sz="4" w:space="0" w:color="000000"/>
            </w:tcBorders>
            <w:shd w:val="clear" w:color="auto" w:fill="auto"/>
            <w:noWrap/>
            <w:vAlign w:val="bottom"/>
          </w:tcPr>
          <w:p w:rsidR="000835AA" w:rsidRPr="002B7D61" w:rsidRDefault="000835AA" w:rsidP="000C782D">
            <w:pPr>
              <w:ind w:firstLine="34"/>
              <w:rPr>
                <w:sz w:val="19"/>
                <w:szCs w:val="19"/>
              </w:rPr>
            </w:pPr>
            <w:r w:rsidRPr="002B7D61">
              <w:rPr>
                <w:sz w:val="19"/>
                <w:szCs w:val="19"/>
              </w:rPr>
              <w:t>Ставки сверхнормативного простоя под загрузкой/разгрузкой, руб/час</w:t>
            </w:r>
          </w:p>
        </w:tc>
        <w:tc>
          <w:tcPr>
            <w:tcW w:w="1563" w:type="dxa"/>
            <w:tcBorders>
              <w:top w:val="nil"/>
              <w:left w:val="nil"/>
              <w:bottom w:val="single" w:sz="4" w:space="0" w:color="000000"/>
              <w:right w:val="single" w:sz="4" w:space="0" w:color="000000"/>
            </w:tcBorders>
            <w:shd w:val="clear" w:color="auto" w:fill="auto"/>
            <w:noWrap/>
            <w:vAlign w:val="bottom"/>
          </w:tcPr>
          <w:p w:rsidR="000835AA" w:rsidRPr="002B7D61" w:rsidRDefault="000835AA" w:rsidP="000C782D">
            <w:pPr>
              <w:jc w:val="center"/>
              <w:rPr>
                <w:bCs/>
                <w:sz w:val="19"/>
                <w:szCs w:val="19"/>
              </w:rPr>
            </w:pPr>
            <w:r w:rsidRPr="002B7D61">
              <w:rPr>
                <w:bCs/>
                <w:sz w:val="19"/>
                <w:szCs w:val="19"/>
              </w:rPr>
              <w:t>618</w:t>
            </w:r>
          </w:p>
        </w:tc>
        <w:tc>
          <w:tcPr>
            <w:tcW w:w="1280" w:type="dxa"/>
            <w:tcBorders>
              <w:top w:val="nil"/>
              <w:left w:val="nil"/>
              <w:bottom w:val="single" w:sz="4" w:space="0" w:color="000000"/>
              <w:right w:val="single" w:sz="4" w:space="0" w:color="auto"/>
            </w:tcBorders>
            <w:vAlign w:val="bottom"/>
          </w:tcPr>
          <w:p w:rsidR="000835AA" w:rsidRPr="002B7D61" w:rsidRDefault="000835AA" w:rsidP="000C782D">
            <w:pPr>
              <w:jc w:val="center"/>
              <w:rPr>
                <w:bCs/>
                <w:sz w:val="19"/>
                <w:szCs w:val="19"/>
              </w:rPr>
            </w:pPr>
            <w:r w:rsidRPr="002B7D61">
              <w:rPr>
                <w:bCs/>
                <w:sz w:val="19"/>
                <w:szCs w:val="19"/>
              </w:rPr>
              <w:t xml:space="preserve">634 </w:t>
            </w:r>
          </w:p>
        </w:tc>
        <w:tc>
          <w:tcPr>
            <w:tcW w:w="1421"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 xml:space="preserve">532 </w:t>
            </w:r>
          </w:p>
        </w:tc>
        <w:tc>
          <w:tcPr>
            <w:tcW w:w="2416" w:type="dxa"/>
            <w:tcBorders>
              <w:top w:val="nil"/>
              <w:left w:val="single" w:sz="4" w:space="0" w:color="auto"/>
              <w:bottom w:val="single" w:sz="4" w:space="0" w:color="000000"/>
              <w:right w:val="single" w:sz="4" w:space="0" w:color="auto"/>
            </w:tcBorders>
            <w:vAlign w:val="bottom"/>
          </w:tcPr>
          <w:p w:rsidR="000835AA" w:rsidRPr="002B7D61" w:rsidRDefault="000835AA" w:rsidP="000C782D">
            <w:pPr>
              <w:jc w:val="center"/>
              <w:rPr>
                <w:sz w:val="19"/>
                <w:szCs w:val="19"/>
              </w:rPr>
            </w:pPr>
            <w:r w:rsidRPr="002B7D61">
              <w:rPr>
                <w:sz w:val="19"/>
                <w:szCs w:val="19"/>
              </w:rPr>
              <w:t xml:space="preserve">532 </w:t>
            </w:r>
          </w:p>
        </w:tc>
      </w:tr>
      <w:tr w:rsidR="000835AA" w:rsidRPr="002B7D61" w:rsidTr="00150D6F">
        <w:tblPrEx>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Ex>
        <w:trPr>
          <w:trHeight w:val="545"/>
        </w:trPr>
        <w:tc>
          <w:tcPr>
            <w:tcW w:w="9949" w:type="dxa"/>
            <w:gridSpan w:val="5"/>
          </w:tcPr>
          <w:p w:rsidR="000835AA" w:rsidRPr="002B7D61" w:rsidRDefault="000835AA" w:rsidP="000C782D">
            <w:pPr>
              <w:suppressAutoHyphens/>
              <w:ind w:right="-2" w:firstLine="34"/>
              <w:jc w:val="both"/>
              <w:rPr>
                <w:rFonts w:eastAsia="MS Mincho"/>
                <w:color w:val="000000"/>
                <w:sz w:val="19"/>
                <w:szCs w:val="19"/>
                <w:lang w:eastAsia="ar-SA"/>
              </w:rPr>
            </w:pPr>
            <w:r w:rsidRPr="002B7D61">
              <w:rPr>
                <w:rFonts w:eastAsia="MS Mincho"/>
                <w:color w:val="000000"/>
                <w:sz w:val="19"/>
                <w:szCs w:val="19"/>
                <w:lang w:eastAsia="ar-SA"/>
              </w:rPr>
              <w:t>Стоимость использования транспортного средства Арендодателя (без отцепа) сверхнормативного времени рассчитывается по факту.</w:t>
            </w:r>
          </w:p>
          <w:p w:rsidR="000835AA" w:rsidRPr="002B7D61" w:rsidRDefault="000835AA" w:rsidP="000C782D">
            <w:pPr>
              <w:suppressAutoHyphens/>
              <w:ind w:right="-2" w:firstLine="34"/>
              <w:jc w:val="both"/>
              <w:rPr>
                <w:sz w:val="19"/>
                <w:szCs w:val="19"/>
              </w:rPr>
            </w:pPr>
            <w:r w:rsidRPr="002B7D61">
              <w:rPr>
                <w:rFonts w:eastAsia="MS Mincho"/>
                <w:color w:val="000000"/>
                <w:sz w:val="19"/>
                <w:szCs w:val="19"/>
                <w:lang w:eastAsia="ar-SA"/>
              </w:rPr>
              <w:t>Стоимость простоя прицепа/полуприцепа сверхнормативного времени  округляется свыше 15 минут до целого часа.</w:t>
            </w:r>
          </w:p>
        </w:tc>
      </w:tr>
    </w:tbl>
    <w:p w:rsidR="002B7D61" w:rsidRDefault="002B7D61" w:rsidP="00150D6F">
      <w:pPr>
        <w:jc w:val="both"/>
        <w:rPr>
          <w:sz w:val="24"/>
          <w:szCs w:val="24"/>
        </w:rPr>
      </w:pPr>
    </w:p>
    <w:sectPr w:rsidR="002B7D61" w:rsidSect="002B7D61">
      <w:pgSz w:w="11906" w:h="16838"/>
      <w:pgMar w:top="1134"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8" w:rsidRDefault="00544C28" w:rsidP="00B470FA">
      <w:r>
        <w:separator/>
      </w:r>
    </w:p>
  </w:endnote>
  <w:endnote w:type="continuationSeparator" w:id="1">
    <w:p w:rsidR="00544C28" w:rsidRDefault="00544C2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8" w:rsidRDefault="00544C28" w:rsidP="00B470FA">
      <w:r>
        <w:separator/>
      </w:r>
    </w:p>
  </w:footnote>
  <w:footnote w:type="continuationSeparator" w:id="1">
    <w:p w:rsidR="00544C28" w:rsidRDefault="00544C2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3429"/>
      <w:docPartObj>
        <w:docPartGallery w:val="Page Numbers (Top of Page)"/>
        <w:docPartUnique/>
      </w:docPartObj>
    </w:sdtPr>
    <w:sdtEndPr>
      <w:rPr>
        <w:sz w:val="24"/>
        <w:szCs w:val="24"/>
      </w:rPr>
    </w:sdtEndPr>
    <w:sdtContent>
      <w:p w:rsidR="00A97E17" w:rsidRPr="00636E16" w:rsidRDefault="00235C57" w:rsidP="00636E16">
        <w:pPr>
          <w:pStyle w:val="aff"/>
          <w:jc w:val="center"/>
          <w:rPr>
            <w:sz w:val="24"/>
            <w:szCs w:val="24"/>
          </w:rPr>
        </w:pPr>
        <w:r w:rsidRPr="00636E16">
          <w:rPr>
            <w:sz w:val="24"/>
            <w:szCs w:val="24"/>
          </w:rPr>
          <w:fldChar w:fldCharType="begin"/>
        </w:r>
        <w:r w:rsidR="00A97E17" w:rsidRPr="00636E16">
          <w:rPr>
            <w:sz w:val="24"/>
            <w:szCs w:val="24"/>
          </w:rPr>
          <w:instrText>PAGE   \* MERGEFORMAT</w:instrText>
        </w:r>
        <w:r w:rsidRPr="00636E16">
          <w:rPr>
            <w:sz w:val="24"/>
            <w:szCs w:val="24"/>
          </w:rPr>
          <w:fldChar w:fldCharType="separate"/>
        </w:r>
        <w:r w:rsidR="006C3E6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8786B"/>
    <w:multiLevelType w:val="hybridMultilevel"/>
    <w:tmpl w:val="FA5AF774"/>
    <w:lvl w:ilvl="0" w:tplc="2BEC76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FEA22492"/>
    <w:lvl w:ilvl="0" w:tplc="040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6C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32ED9"/>
    <w:multiLevelType w:val="multilevel"/>
    <w:tmpl w:val="F65019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3">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4">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5">
    <w:nsid w:val="32C600C3"/>
    <w:multiLevelType w:val="hybridMultilevel"/>
    <w:tmpl w:val="30FEE67A"/>
    <w:lvl w:ilvl="0" w:tplc="E9261970">
      <w:start w:val="14"/>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7D00D1"/>
    <w:multiLevelType w:val="multilevel"/>
    <w:tmpl w:val="FEDA7F88"/>
    <w:lvl w:ilvl="0">
      <w:start w:val="4"/>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B4515"/>
    <w:multiLevelType w:val="hybridMultilevel"/>
    <w:tmpl w:val="F31AB98C"/>
    <w:lvl w:ilvl="0" w:tplc="0409000F">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60F7305"/>
    <w:multiLevelType w:val="hybridMultilevel"/>
    <w:tmpl w:val="C2BE663E"/>
    <w:lvl w:ilvl="0" w:tplc="2BEC760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BA2F74"/>
    <w:multiLevelType w:val="hybridMultilevel"/>
    <w:tmpl w:val="C1182D48"/>
    <w:lvl w:ilvl="0" w:tplc="BE20745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C04A30"/>
    <w:multiLevelType w:val="hybridMultilevel"/>
    <w:tmpl w:val="26E442F0"/>
    <w:lvl w:ilvl="0" w:tplc="5EDA60C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08256F1"/>
    <w:multiLevelType w:val="hybridMultilevel"/>
    <w:tmpl w:val="F42CF076"/>
    <w:lvl w:ilvl="0" w:tplc="9B1036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46">
    <w:nsid w:val="616A6AD2"/>
    <w:multiLevelType w:val="multilevel"/>
    <w:tmpl w:val="8FDEE3D6"/>
    <w:lvl w:ilvl="0">
      <w:start w:val="4"/>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9">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1"/>
  </w:num>
  <w:num w:numId="2">
    <w:abstractNumId w:val="30"/>
  </w:num>
  <w:num w:numId="3">
    <w:abstractNumId w:val="9"/>
  </w:num>
  <w:num w:numId="4">
    <w:abstractNumId w:val="8"/>
  </w:num>
  <w:num w:numId="5">
    <w:abstractNumId w:val="0"/>
  </w:num>
  <w:num w:numId="6">
    <w:abstractNumId w:val="47"/>
  </w:num>
  <w:num w:numId="7">
    <w:abstractNumId w:val="19"/>
  </w:num>
  <w:num w:numId="8">
    <w:abstractNumId w:val="26"/>
  </w:num>
  <w:num w:numId="9">
    <w:abstractNumId w:val="7"/>
  </w:num>
  <w:num w:numId="10">
    <w:abstractNumId w:val="49"/>
  </w:num>
  <w:num w:numId="11">
    <w:abstractNumId w:val="32"/>
  </w:num>
  <w:num w:numId="12">
    <w:abstractNumId w:val="38"/>
  </w:num>
  <w:num w:numId="13">
    <w:abstractNumId w:val="29"/>
  </w:num>
  <w:num w:numId="14">
    <w:abstractNumId w:val="17"/>
  </w:num>
  <w:num w:numId="15">
    <w:abstractNumId w:val="10"/>
  </w:num>
  <w:num w:numId="16">
    <w:abstractNumId w:val="31"/>
  </w:num>
  <w:num w:numId="17">
    <w:abstractNumId w:val="33"/>
  </w:num>
  <w:num w:numId="18">
    <w:abstractNumId w:val="11"/>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36"/>
  </w:num>
  <w:num w:numId="23">
    <w:abstractNumId w:val="22"/>
  </w:num>
  <w:num w:numId="24">
    <w:abstractNumId w:val="50"/>
  </w:num>
  <w:num w:numId="25">
    <w:abstractNumId w:val="37"/>
  </w:num>
  <w:num w:numId="26">
    <w:abstractNumId w:val="40"/>
  </w:num>
  <w:num w:numId="27">
    <w:abstractNumId w:val="24"/>
  </w:num>
  <w:num w:numId="28">
    <w:abstractNumId w:val="23"/>
  </w:num>
  <w:num w:numId="29">
    <w:abstractNumId w:val="52"/>
  </w:num>
  <w:num w:numId="30">
    <w:abstractNumId w:val="48"/>
  </w:num>
  <w:num w:numId="31">
    <w:abstractNumId w:val="16"/>
  </w:num>
  <w:num w:numId="32">
    <w:abstractNumId w:val="35"/>
  </w:num>
  <w:num w:numId="33">
    <w:abstractNumId w:val="18"/>
  </w:num>
  <w:num w:numId="34">
    <w:abstractNumId w:val="28"/>
  </w:num>
  <w:num w:numId="35">
    <w:abstractNumId w:val="27"/>
  </w:num>
  <w:num w:numId="36">
    <w:abstractNumId w:val="43"/>
  </w:num>
  <w:num w:numId="37">
    <w:abstractNumId w:val="25"/>
  </w:num>
  <w:num w:numId="38">
    <w:abstractNumId w:val="39"/>
  </w:num>
  <w:num w:numId="39">
    <w:abstractNumId w:val="41"/>
  </w:num>
  <w:num w:numId="40">
    <w:abstractNumId w:val="45"/>
  </w:num>
  <w:num w:numId="41">
    <w:abstractNumId w:val="14"/>
  </w:num>
  <w:num w:numId="42">
    <w:abstractNumId w:val="42"/>
  </w:num>
  <w:num w:numId="43">
    <w:abstractNumId w:val="12"/>
  </w:num>
  <w:num w:numId="44">
    <w:abstractNumId w:val="34"/>
  </w:num>
  <w:num w:numId="45">
    <w:abstractNumId w:val="15"/>
  </w:num>
  <w:num w:numId="46">
    <w:abstractNumId w:val="21"/>
  </w:num>
  <w:num w:numId="47">
    <w:abstractNumId w:val="46"/>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35AA"/>
    <w:rsid w:val="000847DC"/>
    <w:rsid w:val="0008492F"/>
    <w:rsid w:val="000854D1"/>
    <w:rsid w:val="000869A9"/>
    <w:rsid w:val="00086B77"/>
    <w:rsid w:val="0008791C"/>
    <w:rsid w:val="00091315"/>
    <w:rsid w:val="00091A21"/>
    <w:rsid w:val="00092F15"/>
    <w:rsid w:val="000930B7"/>
    <w:rsid w:val="0009350B"/>
    <w:rsid w:val="00093614"/>
    <w:rsid w:val="00093E82"/>
    <w:rsid w:val="00094E41"/>
    <w:rsid w:val="00095D28"/>
    <w:rsid w:val="00096AD7"/>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24A"/>
    <w:rsid w:val="000C1659"/>
    <w:rsid w:val="000C1B0B"/>
    <w:rsid w:val="000C2A8B"/>
    <w:rsid w:val="000C2CC6"/>
    <w:rsid w:val="000C35D9"/>
    <w:rsid w:val="000C5598"/>
    <w:rsid w:val="000C6383"/>
    <w:rsid w:val="000C6DFE"/>
    <w:rsid w:val="000C782D"/>
    <w:rsid w:val="000D01AD"/>
    <w:rsid w:val="000D1267"/>
    <w:rsid w:val="000D2386"/>
    <w:rsid w:val="000D3495"/>
    <w:rsid w:val="000D3599"/>
    <w:rsid w:val="000D371E"/>
    <w:rsid w:val="000D4C54"/>
    <w:rsid w:val="000D54F2"/>
    <w:rsid w:val="000D6B64"/>
    <w:rsid w:val="000D6C16"/>
    <w:rsid w:val="000D7F66"/>
    <w:rsid w:val="000E0180"/>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172C1"/>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DBE"/>
    <w:rsid w:val="00140E88"/>
    <w:rsid w:val="00140ECA"/>
    <w:rsid w:val="001410B5"/>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0D6F"/>
    <w:rsid w:val="00151AAD"/>
    <w:rsid w:val="001527AB"/>
    <w:rsid w:val="00153C3B"/>
    <w:rsid w:val="0015407D"/>
    <w:rsid w:val="00154379"/>
    <w:rsid w:val="00154E53"/>
    <w:rsid w:val="00155146"/>
    <w:rsid w:val="0015582D"/>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2BB9"/>
    <w:rsid w:val="0019500C"/>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170"/>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5C57"/>
    <w:rsid w:val="0023684C"/>
    <w:rsid w:val="0024021A"/>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C67"/>
    <w:rsid w:val="002B0702"/>
    <w:rsid w:val="002B10BA"/>
    <w:rsid w:val="002B238D"/>
    <w:rsid w:val="002B23CA"/>
    <w:rsid w:val="002B2B91"/>
    <w:rsid w:val="002B2F8E"/>
    <w:rsid w:val="002B313F"/>
    <w:rsid w:val="002B3D80"/>
    <w:rsid w:val="002B4496"/>
    <w:rsid w:val="002B587D"/>
    <w:rsid w:val="002B6246"/>
    <w:rsid w:val="002B7D61"/>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28B8"/>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CF8"/>
    <w:rsid w:val="00305E06"/>
    <w:rsid w:val="003069F1"/>
    <w:rsid w:val="00307C7E"/>
    <w:rsid w:val="003101B5"/>
    <w:rsid w:val="003103F6"/>
    <w:rsid w:val="0031057F"/>
    <w:rsid w:val="00310C32"/>
    <w:rsid w:val="003125B3"/>
    <w:rsid w:val="00313408"/>
    <w:rsid w:val="003137E0"/>
    <w:rsid w:val="00314B0F"/>
    <w:rsid w:val="0031574D"/>
    <w:rsid w:val="00316C0C"/>
    <w:rsid w:val="00317C10"/>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0D7"/>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BED"/>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0F19"/>
    <w:rsid w:val="00421A08"/>
    <w:rsid w:val="00421A6B"/>
    <w:rsid w:val="00423045"/>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308"/>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30A"/>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28"/>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1A69"/>
    <w:rsid w:val="00653CDF"/>
    <w:rsid w:val="00655E9B"/>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0DE9"/>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E6E"/>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75A"/>
    <w:rsid w:val="00725AD0"/>
    <w:rsid w:val="00731616"/>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DF2"/>
    <w:rsid w:val="00774E67"/>
    <w:rsid w:val="00775F9E"/>
    <w:rsid w:val="0077670A"/>
    <w:rsid w:val="007778FE"/>
    <w:rsid w:val="0078180D"/>
    <w:rsid w:val="007840C0"/>
    <w:rsid w:val="0078413F"/>
    <w:rsid w:val="00785BD4"/>
    <w:rsid w:val="007865F3"/>
    <w:rsid w:val="0078676B"/>
    <w:rsid w:val="00786E4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B46"/>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8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6B55"/>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39F"/>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2521"/>
    <w:rsid w:val="008D26FA"/>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4D1"/>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4D27"/>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2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D76"/>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97E17"/>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0F2F"/>
    <w:rsid w:val="00AF21FD"/>
    <w:rsid w:val="00AF4585"/>
    <w:rsid w:val="00AF49BF"/>
    <w:rsid w:val="00AF4AD1"/>
    <w:rsid w:val="00AF534D"/>
    <w:rsid w:val="00AF5455"/>
    <w:rsid w:val="00AF6F41"/>
    <w:rsid w:val="00B004AB"/>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57AAC"/>
    <w:rsid w:val="00B612B0"/>
    <w:rsid w:val="00B61CD9"/>
    <w:rsid w:val="00B62B03"/>
    <w:rsid w:val="00B630BA"/>
    <w:rsid w:val="00B64397"/>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443"/>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29D3"/>
    <w:rsid w:val="00BF3943"/>
    <w:rsid w:val="00BF46F0"/>
    <w:rsid w:val="00BF553F"/>
    <w:rsid w:val="00BF5E36"/>
    <w:rsid w:val="00BF6E93"/>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05D"/>
    <w:rsid w:val="00C76CDD"/>
    <w:rsid w:val="00C810A5"/>
    <w:rsid w:val="00C8184C"/>
    <w:rsid w:val="00C81959"/>
    <w:rsid w:val="00C81D7D"/>
    <w:rsid w:val="00C8276F"/>
    <w:rsid w:val="00C84701"/>
    <w:rsid w:val="00C84C5B"/>
    <w:rsid w:val="00C84DA3"/>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0F5"/>
    <w:rsid w:val="00D86D08"/>
    <w:rsid w:val="00D914C2"/>
    <w:rsid w:val="00D91CE5"/>
    <w:rsid w:val="00D921F2"/>
    <w:rsid w:val="00D92CF1"/>
    <w:rsid w:val="00D93C91"/>
    <w:rsid w:val="00D93D3D"/>
    <w:rsid w:val="00D95EDE"/>
    <w:rsid w:val="00D968B0"/>
    <w:rsid w:val="00D96B15"/>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69DB"/>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6E8D"/>
    <w:rsid w:val="00DF7658"/>
    <w:rsid w:val="00DF76FF"/>
    <w:rsid w:val="00E03B62"/>
    <w:rsid w:val="00E0439E"/>
    <w:rsid w:val="00E043FE"/>
    <w:rsid w:val="00E05668"/>
    <w:rsid w:val="00E05D88"/>
    <w:rsid w:val="00E06520"/>
    <w:rsid w:val="00E06D95"/>
    <w:rsid w:val="00E07687"/>
    <w:rsid w:val="00E0772A"/>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421"/>
    <w:rsid w:val="00E95890"/>
    <w:rsid w:val="00E9613E"/>
    <w:rsid w:val="00E96842"/>
    <w:rsid w:val="00E97723"/>
    <w:rsid w:val="00E97E25"/>
    <w:rsid w:val="00EA0CF7"/>
    <w:rsid w:val="00EA1383"/>
    <w:rsid w:val="00EA1838"/>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4DF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EF5DE3"/>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3E86"/>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DA6"/>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0D2"/>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5BB-8952-48DB-9A04-FFA633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983</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2014-06-10T12:11:00Z</cp:lastPrinted>
  <dcterms:created xsi:type="dcterms:W3CDTF">2014-06-11T13:55:00Z</dcterms:created>
  <dcterms:modified xsi:type="dcterms:W3CDTF">2014-06-11T13:55:00Z</dcterms:modified>
</cp:coreProperties>
</file>