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B05E9"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31D4">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31D4">
        <w:rPr>
          <w:b/>
          <w:bCs/>
          <w:szCs w:val="28"/>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31D4" w:rsidRPr="00874205" w:rsidRDefault="00874205" w:rsidP="00F131D4">
      <w:pPr>
        <w:ind w:left="720"/>
        <w:jc w:val="both"/>
        <w:rPr>
          <w:lang w:val="en-US"/>
        </w:rPr>
      </w:pPr>
      <w:r>
        <w:rPr>
          <w:lang w:val="en-US"/>
        </w:rPr>
        <w:t>….</w:t>
      </w:r>
    </w:p>
    <w:p w:rsidR="00F131D4" w:rsidRDefault="00F131D4" w:rsidP="00F131D4">
      <w:pPr>
        <w:jc w:val="both"/>
        <w:rPr>
          <w:sz w:val="20"/>
        </w:rPr>
      </w:pPr>
    </w:p>
    <w:p w:rsidR="00F131D4" w:rsidRPr="00BE10CA" w:rsidRDefault="00F131D4" w:rsidP="00F131D4">
      <w:pPr>
        <w:numPr>
          <w:ilvl w:val="0"/>
          <w:numId w:val="17"/>
        </w:numPr>
        <w:ind w:left="720"/>
        <w:jc w:val="both"/>
      </w:pPr>
      <w:r>
        <w:t>Подведение итогов о</w:t>
      </w:r>
      <w:r w:rsidRPr="00C5157F">
        <w:t>ткрыт</w:t>
      </w:r>
      <w:r>
        <w:t>ого</w:t>
      </w:r>
      <w:r w:rsidRPr="00C5157F">
        <w:t xml:space="preserve"> конкурс</w:t>
      </w:r>
      <w:r>
        <w:t>а</w:t>
      </w:r>
      <w:r w:rsidRPr="00C5157F">
        <w:t xml:space="preserve"> </w:t>
      </w:r>
      <w:proofErr w:type="gramStart"/>
      <w:r w:rsidRPr="00BE10CA">
        <w:t xml:space="preserve">на право заключения договора на оказание услуг по представлению доступа к международной базе данных для </w:t>
      </w:r>
      <w:r w:rsidR="00161355" w:rsidRPr="00BE10CA">
        <w:t>обеспечения</w:t>
      </w:r>
      <w:proofErr w:type="gramEnd"/>
      <w:r w:rsidR="00161355">
        <w:t xml:space="preserve"> </w:t>
      </w:r>
      <w:r w:rsidRPr="00BE10CA">
        <w:t>информационно-аналитической деятельности Заказчика.</w:t>
      </w:r>
    </w:p>
    <w:p w:rsidR="00F131D4" w:rsidRPr="00AA3111" w:rsidRDefault="00F131D4" w:rsidP="00F131D4">
      <w:pPr>
        <w:ind w:left="720"/>
        <w:jc w:val="both"/>
      </w:pPr>
      <w:r w:rsidRPr="00AA3111">
        <w:t xml:space="preserve">Докладчик: </w:t>
      </w:r>
      <w:proofErr w:type="spellStart"/>
      <w:r>
        <w:t>И.о</w:t>
      </w:r>
      <w:proofErr w:type="gramStart"/>
      <w:r>
        <w:t>.</w:t>
      </w:r>
      <w:r w:rsidRPr="00AA3111">
        <w:t>Ц</w:t>
      </w:r>
      <w:proofErr w:type="gramEnd"/>
      <w:r w:rsidRPr="00AA3111">
        <w:t>КП</w:t>
      </w:r>
      <w:r>
        <w:t>ПС</w:t>
      </w:r>
      <w:proofErr w:type="spellEnd"/>
      <w:r>
        <w:t xml:space="preserve"> Аниканов А.С.</w:t>
      </w:r>
    </w:p>
    <w:p w:rsidR="00F131D4" w:rsidRDefault="00F131D4" w:rsidP="00F131D4">
      <w:pPr>
        <w:ind w:left="709"/>
      </w:pPr>
      <w:r w:rsidRPr="00AA3111">
        <w:t>Заявка в АСБК:</w:t>
      </w:r>
      <w:r>
        <w:t xml:space="preserve"> Т10040840, Т10040837, Т10040740, Т10040650.</w:t>
      </w:r>
    </w:p>
    <w:p w:rsidR="00F131D4" w:rsidRPr="00921C2E" w:rsidRDefault="00F131D4" w:rsidP="00F131D4">
      <w:pPr>
        <w:ind w:left="709"/>
        <w:jc w:val="both"/>
        <w:rPr>
          <w:sz w:val="20"/>
        </w:rPr>
      </w:pPr>
      <w:r w:rsidRPr="00AA3111">
        <w:t>Конкурс:</w:t>
      </w:r>
      <w:r w:rsidRPr="00BE10CA">
        <w:t xml:space="preserve"> ОК/001/ЦКППС/0001</w:t>
      </w:r>
    </w:p>
    <w:p w:rsidR="001E23BD" w:rsidRDefault="001E23BD" w:rsidP="001E23BD">
      <w:pPr>
        <w:ind w:left="720"/>
        <w:jc w:val="both"/>
      </w:pPr>
    </w:p>
    <w:p w:rsidR="00101893" w:rsidRPr="00921C2E" w:rsidRDefault="00602426" w:rsidP="00101893">
      <w:pPr>
        <w:ind w:firstLine="708"/>
        <w:jc w:val="both"/>
      </w:pPr>
      <w:r w:rsidRPr="00921C2E">
        <w:rPr>
          <w:b/>
          <w:szCs w:val="28"/>
        </w:rPr>
        <w:t>….</w:t>
      </w:r>
    </w:p>
    <w:p w:rsidR="006D193C" w:rsidRDefault="006D193C" w:rsidP="00E44DB3">
      <w:pPr>
        <w:pStyle w:val="ad"/>
        <w:ind w:left="709"/>
        <w:jc w:val="both"/>
      </w:pPr>
    </w:p>
    <w:p w:rsidR="00491A6D" w:rsidRPr="006D193C" w:rsidRDefault="00B4219C" w:rsidP="00E44DB3">
      <w:pPr>
        <w:pStyle w:val="ad"/>
        <w:ind w:left="709"/>
        <w:jc w:val="both"/>
        <w:rPr>
          <w:szCs w:val="28"/>
        </w:rPr>
      </w:pPr>
      <w:r w:rsidRPr="004679A3">
        <w:rPr>
          <w:b/>
          <w:szCs w:val="28"/>
        </w:rPr>
        <w:t xml:space="preserve">По пункту </w:t>
      </w:r>
      <w:r>
        <w:rPr>
          <w:b/>
          <w:szCs w:val="28"/>
          <w:lang w:val="en-US"/>
        </w:rPr>
        <w:t>VI</w:t>
      </w:r>
      <w:r w:rsidRPr="004679A3">
        <w:rPr>
          <w:b/>
          <w:szCs w:val="28"/>
        </w:rPr>
        <w:t xml:space="preserve"> повестки дня заседания</w:t>
      </w:r>
      <w:r>
        <w:rPr>
          <w:b/>
          <w:szCs w:val="28"/>
        </w:rPr>
        <w:t>:</w:t>
      </w:r>
    </w:p>
    <w:p w:rsidR="00491A6D" w:rsidRDefault="00491A6D" w:rsidP="007A1AE9">
      <w:pPr>
        <w:pStyle w:val="ad"/>
        <w:numPr>
          <w:ilvl w:val="0"/>
          <w:numId w:val="25"/>
        </w:numPr>
        <w:ind w:left="0" w:firstLine="709"/>
        <w:jc w:val="both"/>
      </w:pPr>
      <w:r>
        <w:t>О</w:t>
      </w:r>
      <w:r w:rsidRPr="00C5157F">
        <w:t>ткрыт</w:t>
      </w:r>
      <w:r>
        <w:t>ый</w:t>
      </w:r>
      <w:r w:rsidRPr="00C5157F">
        <w:t xml:space="preserve"> конкурс</w:t>
      </w:r>
      <w:r>
        <w:t xml:space="preserve"> №</w:t>
      </w:r>
      <w:r w:rsidRPr="00491A6D">
        <w:t xml:space="preserve"> </w:t>
      </w:r>
      <w:r w:rsidRPr="00BE10CA">
        <w:t>ОК/001/ЦКППС/0001</w:t>
      </w:r>
      <w:r w:rsidRPr="00C5157F">
        <w:t xml:space="preserve"> </w:t>
      </w:r>
      <w:r w:rsidRPr="00BE10CA">
        <w:t xml:space="preserve">на право заключения </w:t>
      </w:r>
      <w:proofErr w:type="gramStart"/>
      <w:r w:rsidRPr="00BE10CA">
        <w:t>договора</w:t>
      </w:r>
      <w:proofErr w:type="gramEnd"/>
      <w:r w:rsidRPr="00BE10CA">
        <w:t xml:space="preserve"> на оказание услуг по представлению доступа к международной базе данных для обеспечения</w:t>
      </w:r>
      <w:r>
        <w:t xml:space="preserve"> </w:t>
      </w:r>
      <w:r w:rsidRPr="00BE10CA">
        <w:t>информационно-аналитической деятельности Заказчика</w:t>
      </w:r>
      <w:r>
        <w:t xml:space="preserve"> признан не</w:t>
      </w:r>
      <w:r w:rsidR="003D472C">
        <w:t xml:space="preserve"> </w:t>
      </w:r>
      <w:r>
        <w:t xml:space="preserve">состоявшимся на основании </w:t>
      </w:r>
      <w:r w:rsidRPr="007902AD">
        <w:rPr>
          <w:snapToGrid w:val="0"/>
          <w:szCs w:val="28"/>
        </w:rPr>
        <w:t>подпункта 2 пункта 2.9.1</w:t>
      </w:r>
      <w:r>
        <w:rPr>
          <w:snapToGrid w:val="0"/>
          <w:szCs w:val="28"/>
        </w:rPr>
        <w:t>1</w:t>
      </w:r>
      <w:r w:rsidRPr="007902AD">
        <w:rPr>
          <w:snapToGrid w:val="0"/>
          <w:szCs w:val="28"/>
        </w:rPr>
        <w:t>. документации о закупке и  подпункта 2 пункта 140 Положения о закупках (на участие в конкурсе подана одна Заявка).</w:t>
      </w:r>
    </w:p>
    <w:p w:rsidR="00491A6D" w:rsidRDefault="00491A6D" w:rsidP="007A1AE9">
      <w:pPr>
        <w:pStyle w:val="ad"/>
        <w:numPr>
          <w:ilvl w:val="0"/>
          <w:numId w:val="25"/>
        </w:numPr>
        <w:ind w:left="0" w:firstLine="709"/>
        <w:jc w:val="both"/>
      </w:pPr>
      <w:r>
        <w:t xml:space="preserve"> </w:t>
      </w:r>
      <w:r w:rsidRPr="00491A6D">
        <w:rPr>
          <w:szCs w:val="28"/>
        </w:rPr>
        <w:t xml:space="preserve">Согласиться с выводами и предложениями Постоянной рабочей группы Конкурсной комиссии </w:t>
      </w:r>
      <w:r>
        <w:t>аппарата управления</w:t>
      </w:r>
      <w:r w:rsidRPr="00491A6D">
        <w:rPr>
          <w:szCs w:val="28"/>
        </w:rPr>
        <w:t xml:space="preserve"> (Протокол № </w:t>
      </w:r>
      <w:r w:rsidR="00EC7D3B">
        <w:rPr>
          <w:szCs w:val="28"/>
        </w:rPr>
        <w:t>16</w:t>
      </w:r>
      <w:r w:rsidRPr="00491A6D">
        <w:rPr>
          <w:szCs w:val="28"/>
        </w:rPr>
        <w:t xml:space="preserve">/ПРГ заседания, состоявшегося </w:t>
      </w:r>
      <w:r w:rsidR="00EC7D3B">
        <w:rPr>
          <w:szCs w:val="28"/>
        </w:rPr>
        <w:t>4</w:t>
      </w:r>
      <w:r w:rsidR="00EC7D3B" w:rsidRPr="00491A6D">
        <w:rPr>
          <w:szCs w:val="28"/>
        </w:rPr>
        <w:t xml:space="preserve"> </w:t>
      </w:r>
      <w:r w:rsidR="00EC7D3B">
        <w:rPr>
          <w:szCs w:val="28"/>
        </w:rPr>
        <w:t>марта</w:t>
      </w:r>
      <w:r w:rsidR="00EC7D3B" w:rsidRPr="00491A6D">
        <w:rPr>
          <w:szCs w:val="28"/>
        </w:rPr>
        <w:t xml:space="preserve"> </w:t>
      </w:r>
      <w:r w:rsidRPr="00491A6D">
        <w:rPr>
          <w:szCs w:val="28"/>
        </w:rPr>
        <w:t xml:space="preserve">2014 г.) в части принятия решения допустить к участию в открытом конкурсе </w:t>
      </w:r>
      <w:r w:rsidRPr="007A1AE9">
        <w:rPr>
          <w:szCs w:val="28"/>
          <w:lang w:val="en-US"/>
        </w:rPr>
        <w:t>Factiva</w:t>
      </w:r>
      <w:r w:rsidRPr="007A1AE9">
        <w:rPr>
          <w:szCs w:val="28"/>
        </w:rPr>
        <w:t xml:space="preserve"> </w:t>
      </w:r>
      <w:r w:rsidRPr="007A1AE9">
        <w:rPr>
          <w:szCs w:val="28"/>
          <w:lang w:val="en-US"/>
        </w:rPr>
        <w:t>Limited</w:t>
      </w:r>
      <w:r w:rsidRPr="007A1AE9">
        <w:rPr>
          <w:szCs w:val="28"/>
        </w:rPr>
        <w:t>.</w:t>
      </w:r>
    </w:p>
    <w:p w:rsidR="00491A6D" w:rsidRPr="007A1AE9" w:rsidRDefault="00491A6D" w:rsidP="007A1AE9">
      <w:pPr>
        <w:pStyle w:val="ad"/>
        <w:numPr>
          <w:ilvl w:val="0"/>
          <w:numId w:val="25"/>
        </w:numPr>
        <w:ind w:left="0" w:firstLine="709"/>
        <w:jc w:val="both"/>
      </w:pPr>
      <w:r>
        <w:rPr>
          <w:szCs w:val="28"/>
        </w:rPr>
        <w:lastRenderedPageBreak/>
        <w:t>С</w:t>
      </w:r>
      <w:r w:rsidRPr="0096380E">
        <w:rPr>
          <w:szCs w:val="28"/>
        </w:rPr>
        <w:t xml:space="preserve">огласиться с выводами и предложениями Постоянной рабочей группы Конкурсной комиссии </w:t>
      </w:r>
      <w:r w:rsidRPr="00585C66">
        <w:rPr>
          <w:szCs w:val="28"/>
        </w:rPr>
        <w:t>аппарата управления</w:t>
      </w:r>
      <w:r w:rsidRPr="0096380E">
        <w:rPr>
          <w:szCs w:val="28"/>
        </w:rPr>
        <w:t xml:space="preserve"> (Протокол № </w:t>
      </w:r>
      <w:r w:rsidR="00EC7D3B">
        <w:rPr>
          <w:szCs w:val="28"/>
        </w:rPr>
        <w:t>16</w:t>
      </w:r>
      <w:r w:rsidRPr="0096380E">
        <w:rPr>
          <w:szCs w:val="28"/>
        </w:rPr>
        <w:t xml:space="preserve">/ПРГ заседания, состоявшегося </w:t>
      </w:r>
      <w:r w:rsidR="00EC7D3B">
        <w:rPr>
          <w:szCs w:val="28"/>
        </w:rPr>
        <w:t>4</w:t>
      </w:r>
      <w:r w:rsidR="00EC7D3B" w:rsidRPr="00AD747A">
        <w:rPr>
          <w:szCs w:val="28"/>
        </w:rPr>
        <w:t xml:space="preserve"> </w:t>
      </w:r>
      <w:r w:rsidR="00EC7D3B">
        <w:rPr>
          <w:szCs w:val="28"/>
        </w:rPr>
        <w:t>марта</w:t>
      </w:r>
      <w:r w:rsidR="00EC7D3B" w:rsidRPr="00AD747A">
        <w:rPr>
          <w:szCs w:val="28"/>
        </w:rPr>
        <w:t xml:space="preserve"> </w:t>
      </w:r>
      <w:r w:rsidRPr="00AD747A">
        <w:rPr>
          <w:szCs w:val="28"/>
        </w:rPr>
        <w:t xml:space="preserve">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sidRPr="007A1AE9">
        <w:rPr>
          <w:szCs w:val="28"/>
          <w:lang w:val="en-US"/>
        </w:rPr>
        <w:t>Factiva</w:t>
      </w:r>
      <w:r w:rsidRPr="007A1AE9">
        <w:rPr>
          <w:szCs w:val="28"/>
        </w:rPr>
        <w:t xml:space="preserve"> </w:t>
      </w:r>
      <w:r w:rsidRPr="007A1AE9">
        <w:rPr>
          <w:szCs w:val="28"/>
          <w:lang w:val="en-US"/>
        </w:rPr>
        <w:t>Limited</w:t>
      </w:r>
      <w:r>
        <w:rPr>
          <w:szCs w:val="28"/>
        </w:rPr>
        <w:t xml:space="preserve"> </w:t>
      </w:r>
      <w:r w:rsidRPr="0096380E">
        <w:rPr>
          <w:szCs w:val="28"/>
        </w:rPr>
        <w:t>на следующих условиях:</w:t>
      </w:r>
    </w:p>
    <w:p w:rsidR="00491A6D" w:rsidRDefault="00491A6D" w:rsidP="007A1AE9">
      <w:pPr>
        <w:pStyle w:val="ad"/>
        <w:ind w:left="0" w:firstLine="709"/>
        <w:jc w:val="both"/>
        <w:rPr>
          <w:szCs w:val="28"/>
        </w:rPr>
      </w:pPr>
      <w:r w:rsidRPr="007A1AE9">
        <w:rPr>
          <w:b/>
          <w:szCs w:val="28"/>
        </w:rPr>
        <w:t>Предмет договора:</w:t>
      </w:r>
      <w:r w:rsidRPr="00491A6D">
        <w:rPr>
          <w:szCs w:val="28"/>
        </w:rPr>
        <w:t xml:space="preserve"> о</w:t>
      </w:r>
      <w:r w:rsidRPr="00115814">
        <w:rPr>
          <w:szCs w:val="28"/>
        </w:rPr>
        <w:t>казание услуг по представлению доступа к международной базе данных для обеспечения информационно-аналитической деятельности Заказчика.</w:t>
      </w:r>
      <w:r w:rsidRPr="003D472C">
        <w:rPr>
          <w:szCs w:val="28"/>
        </w:rPr>
        <w:t xml:space="preserve"> </w:t>
      </w:r>
    </w:p>
    <w:p w:rsidR="00491A6D" w:rsidRDefault="00491A6D" w:rsidP="007A1AE9">
      <w:pPr>
        <w:pStyle w:val="ad"/>
        <w:ind w:left="0" w:firstLine="709"/>
        <w:jc w:val="both"/>
        <w:rPr>
          <w:szCs w:val="28"/>
        </w:rPr>
      </w:pPr>
      <w:r w:rsidRPr="00491A6D">
        <w:rPr>
          <w:b/>
          <w:szCs w:val="28"/>
        </w:rPr>
        <w:t>Цена</w:t>
      </w:r>
      <w:r w:rsidRPr="00115814">
        <w:rPr>
          <w:b/>
          <w:szCs w:val="28"/>
        </w:rPr>
        <w:t xml:space="preserve"> договора:</w:t>
      </w:r>
      <w:r w:rsidRPr="00115814">
        <w:rPr>
          <w:szCs w:val="28"/>
        </w:rPr>
        <w:t xml:space="preserve"> 5 000,00 (пять тысяч) долларов США в месяц без учета НДС. </w:t>
      </w:r>
      <w:r w:rsidRPr="003D472C">
        <w:rPr>
          <w:szCs w:val="28"/>
        </w:rPr>
        <w:t xml:space="preserve">НДС по ставке 18% начисляется отдельно. </w:t>
      </w:r>
    </w:p>
    <w:p w:rsidR="00115814" w:rsidRPr="00115814" w:rsidRDefault="00115814" w:rsidP="007A1AE9">
      <w:pPr>
        <w:pStyle w:val="ad"/>
        <w:ind w:left="0" w:firstLine="709"/>
        <w:jc w:val="both"/>
        <w:rPr>
          <w:szCs w:val="28"/>
        </w:rPr>
      </w:pPr>
      <w:r>
        <w:rPr>
          <w:szCs w:val="28"/>
        </w:rPr>
        <w:t>Совокупность всех расчетов по договору не может превышать 4 000 000 руб. (четыре миллиона рублей) без учета НДС за весь период действия договора.</w:t>
      </w:r>
    </w:p>
    <w:p w:rsidR="00491A6D" w:rsidRPr="007A1AE9" w:rsidRDefault="00491A6D" w:rsidP="007A1AE9">
      <w:pPr>
        <w:pStyle w:val="ad"/>
        <w:ind w:left="0" w:firstLine="709"/>
        <w:jc w:val="both"/>
        <w:rPr>
          <w:szCs w:val="28"/>
        </w:rPr>
      </w:pPr>
      <w:r w:rsidRPr="003D472C">
        <w:rPr>
          <w:b/>
          <w:szCs w:val="28"/>
        </w:rPr>
        <w:t xml:space="preserve">Условия оплаты: </w:t>
      </w:r>
      <w:r w:rsidRPr="003D472C">
        <w:rPr>
          <w:szCs w:val="28"/>
        </w:rPr>
        <w:t>оплата</w:t>
      </w:r>
      <w:r w:rsidRPr="007A1AE9">
        <w:rPr>
          <w:szCs w:val="28"/>
        </w:rPr>
        <w:t xml:space="preserve"> услуг производится Заказчиком ежеквартально в течение 30 банковских дней с даты подписания сторонами акта сдачи-приемки оказанных услуг, на основании выставленного Исполнителем счета. </w:t>
      </w:r>
    </w:p>
    <w:p w:rsidR="00491A6D" w:rsidRPr="007A1AE9" w:rsidRDefault="00491A6D" w:rsidP="007A1AE9">
      <w:pPr>
        <w:pStyle w:val="ad"/>
        <w:ind w:left="0" w:firstLine="709"/>
        <w:jc w:val="both"/>
        <w:rPr>
          <w:szCs w:val="28"/>
        </w:rPr>
      </w:pPr>
      <w:r w:rsidRPr="007A1AE9">
        <w:rPr>
          <w:b/>
          <w:szCs w:val="28"/>
        </w:rPr>
        <w:t>Срок оказания услуг:</w:t>
      </w:r>
      <w:r w:rsidRPr="007A1AE9">
        <w:rPr>
          <w:szCs w:val="28"/>
        </w:rPr>
        <w:t xml:space="preserve"> с даты подписания договора до 31 декабря 2015 года.</w:t>
      </w:r>
    </w:p>
    <w:p w:rsidR="00491A6D" w:rsidRPr="003D472C" w:rsidRDefault="00491A6D" w:rsidP="007A1AE9">
      <w:pPr>
        <w:pStyle w:val="ad"/>
        <w:ind w:left="0" w:firstLine="709"/>
        <w:jc w:val="both"/>
        <w:rPr>
          <w:szCs w:val="28"/>
        </w:rPr>
      </w:pPr>
      <w:r w:rsidRPr="007A1AE9">
        <w:rPr>
          <w:b/>
          <w:szCs w:val="28"/>
        </w:rPr>
        <w:t>Срок действия договора:</w:t>
      </w:r>
      <w:r w:rsidRPr="007A1AE9">
        <w:rPr>
          <w:szCs w:val="28"/>
        </w:rPr>
        <w:t xml:space="preserve"> с даты подписания </w:t>
      </w:r>
      <w:r w:rsidR="00115814">
        <w:rPr>
          <w:szCs w:val="28"/>
        </w:rPr>
        <w:t>договора</w:t>
      </w:r>
      <w:r w:rsidRPr="00115814">
        <w:rPr>
          <w:szCs w:val="28"/>
        </w:rPr>
        <w:t xml:space="preserve">  и</w:t>
      </w:r>
      <w:r w:rsidR="00115814">
        <w:rPr>
          <w:szCs w:val="28"/>
        </w:rPr>
        <w:t xml:space="preserve"> </w:t>
      </w:r>
      <w:r w:rsidRPr="00115814">
        <w:rPr>
          <w:szCs w:val="28"/>
        </w:rPr>
        <w:t>действует до 31 декабря 2015 года, а в части взаиморасчетов до полного исполнения Сторонами своих обязательств.</w:t>
      </w:r>
    </w:p>
    <w:p w:rsidR="00115814" w:rsidRPr="00827400" w:rsidRDefault="00115814" w:rsidP="00115814">
      <w:pPr>
        <w:pStyle w:val="ad"/>
        <w:ind w:left="0" w:firstLine="709"/>
        <w:jc w:val="both"/>
        <w:rPr>
          <w:szCs w:val="28"/>
        </w:rPr>
      </w:pPr>
      <w:r w:rsidRPr="00827400">
        <w:rPr>
          <w:b/>
          <w:szCs w:val="28"/>
        </w:rPr>
        <w:t>Место оказания услуг:</w:t>
      </w:r>
      <w:r w:rsidRPr="00827400">
        <w:rPr>
          <w:szCs w:val="28"/>
        </w:rPr>
        <w:t xml:space="preserve"> 125047, г. Москва, Оружейный переулок, д. 19 (услуги оказываются в удаленном режиме без выезда специалистов Исполнителя на территорию Заказчика).</w:t>
      </w:r>
    </w:p>
    <w:p w:rsidR="00115814" w:rsidRPr="00C92703" w:rsidRDefault="00115814" w:rsidP="00115814">
      <w:pPr>
        <w:ind w:firstLine="708"/>
        <w:jc w:val="both"/>
      </w:pPr>
      <w:r>
        <w:rPr>
          <w:szCs w:val="28"/>
        </w:rPr>
        <w:t>4</w:t>
      </w:r>
      <w:r w:rsidRPr="00A975BE">
        <w:rPr>
          <w:szCs w:val="28"/>
        </w:rPr>
        <w:t>.</w:t>
      </w:r>
      <w:r w:rsidRPr="00A975BE">
        <w:rPr>
          <w:b/>
          <w:szCs w:val="28"/>
        </w:rPr>
        <w:t xml:space="preserve"> </w:t>
      </w:r>
      <w:r w:rsidRPr="00C92703">
        <w:t>Поручить</w:t>
      </w:r>
      <w:r>
        <w:t xml:space="preserve"> и.о. начальника отдела корпоративных коммуникаций                             (И.о. ЦКППС) Аниканову А.С.:</w:t>
      </w:r>
    </w:p>
    <w:p w:rsidR="00115814" w:rsidRPr="00A975BE" w:rsidRDefault="00115814" w:rsidP="00115814">
      <w:pPr>
        <w:ind w:firstLine="708"/>
        <w:jc w:val="both"/>
        <w:rPr>
          <w:szCs w:val="28"/>
        </w:rPr>
      </w:pPr>
      <w:r>
        <w:rPr>
          <w:szCs w:val="28"/>
        </w:rPr>
        <w:t>4</w:t>
      </w:r>
      <w:r w:rsidRPr="00A975BE">
        <w:rPr>
          <w:szCs w:val="28"/>
        </w:rPr>
        <w:t>.1 направить уведомление</w:t>
      </w:r>
      <w:r w:rsidRPr="00216964">
        <w:t xml:space="preserve"> </w:t>
      </w:r>
      <w:r w:rsidRPr="00827400">
        <w:rPr>
          <w:szCs w:val="28"/>
          <w:lang w:val="en-US"/>
        </w:rPr>
        <w:t>Factiva</w:t>
      </w:r>
      <w:r w:rsidRPr="00827400">
        <w:rPr>
          <w:szCs w:val="28"/>
        </w:rPr>
        <w:t xml:space="preserve"> </w:t>
      </w:r>
      <w:r w:rsidRPr="00827400">
        <w:rPr>
          <w:szCs w:val="28"/>
          <w:lang w:val="en-US"/>
        </w:rPr>
        <w:t>Limited</w:t>
      </w:r>
      <w:r>
        <w:rPr>
          <w:szCs w:val="28"/>
        </w:rPr>
        <w:t xml:space="preserve"> </w:t>
      </w:r>
      <w:r w:rsidRPr="00A975BE">
        <w:rPr>
          <w:szCs w:val="28"/>
        </w:rPr>
        <w:t>о принятом Конкурсной комиссией ОАО «ТрансКонтейнер» решении с приглашением заключить договор;</w:t>
      </w:r>
    </w:p>
    <w:p w:rsidR="00115814" w:rsidRPr="00921C2E" w:rsidRDefault="00115814" w:rsidP="00115814">
      <w:pPr>
        <w:ind w:firstLine="708"/>
        <w:jc w:val="both"/>
        <w:rPr>
          <w:szCs w:val="28"/>
        </w:rPr>
      </w:pPr>
      <w:r>
        <w:rPr>
          <w:szCs w:val="28"/>
        </w:rPr>
        <w:t>4</w:t>
      </w:r>
      <w:r w:rsidRPr="00A975BE">
        <w:rPr>
          <w:szCs w:val="28"/>
        </w:rPr>
        <w:t xml:space="preserve">.2 обеспечить установленным порядком заключение договора с  </w:t>
      </w:r>
      <w:r w:rsidRPr="00A975BE">
        <w:rPr>
          <w:szCs w:val="28"/>
        </w:rPr>
        <w:br/>
      </w:r>
      <w:r w:rsidRPr="00827400">
        <w:rPr>
          <w:szCs w:val="28"/>
          <w:lang w:val="en-US"/>
        </w:rPr>
        <w:t>Factiva</w:t>
      </w:r>
      <w:r w:rsidRPr="00827400">
        <w:rPr>
          <w:szCs w:val="28"/>
        </w:rPr>
        <w:t xml:space="preserve"> </w:t>
      </w:r>
      <w:r w:rsidRPr="00827400">
        <w:rPr>
          <w:szCs w:val="28"/>
          <w:lang w:val="en-US"/>
        </w:rPr>
        <w:t>Limited</w:t>
      </w:r>
      <w:r>
        <w:rPr>
          <w:szCs w:val="28"/>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A3A79">
            <w:pPr>
              <w:pStyle w:val="a6"/>
              <w:tabs>
                <w:tab w:val="left" w:pos="0"/>
              </w:tabs>
            </w:pPr>
            <w:r w:rsidRPr="00CF45A9">
              <w:rPr>
                <w:i w:val="0"/>
              </w:rPr>
              <w:t>«</w:t>
            </w:r>
            <w:r w:rsidR="004A3A79" w:rsidRPr="00921C2E">
              <w:rPr>
                <w:i w:val="0"/>
              </w:rPr>
              <w:t>07</w:t>
            </w:r>
            <w:r w:rsidRPr="00CF45A9">
              <w:rPr>
                <w:i w:val="0"/>
              </w:rPr>
              <w:t xml:space="preserve">» </w:t>
            </w:r>
            <w:r w:rsidR="00DF7445">
              <w:rPr>
                <w:i w:val="0"/>
              </w:rPr>
              <w:t>апреля</w:t>
            </w:r>
            <w:bookmarkStart w:id="0" w:name="_GoBack"/>
            <w:bookmarkEnd w:id="0"/>
            <w:r w:rsidR="00DF74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161355" w:rsidRPr="00161355" w:rsidRDefault="00921C2E" w:rsidP="00921C2E">
      <w:pPr>
        <w:rPr>
          <w:snapToGrid w:val="0"/>
          <w:sz w:val="24"/>
          <w:szCs w:val="24"/>
        </w:rPr>
      </w:pPr>
      <w:r w:rsidRPr="00161355">
        <w:rPr>
          <w:snapToGrid w:val="0"/>
          <w:sz w:val="24"/>
          <w:szCs w:val="24"/>
        </w:rPr>
        <w:t xml:space="preserve"> </w:t>
      </w:r>
    </w:p>
    <w:p w:rsidR="00161355" w:rsidRPr="00373BCA" w:rsidRDefault="00161355" w:rsidP="00B75705">
      <w:pPr>
        <w:rPr>
          <w:szCs w:val="28"/>
        </w:rPr>
      </w:pPr>
    </w:p>
    <w:sectPr w:rsidR="00161355"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4" w:rsidRDefault="009C27D4" w:rsidP="00B470FA">
      <w:r>
        <w:separator/>
      </w:r>
    </w:p>
  </w:endnote>
  <w:endnote w:type="continuationSeparator" w:id="1">
    <w:p w:rsidR="009C27D4" w:rsidRDefault="009C27D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4" w:rsidRDefault="009C27D4" w:rsidP="00B470FA">
      <w:r>
        <w:separator/>
      </w:r>
    </w:p>
  </w:footnote>
  <w:footnote w:type="continuationSeparator" w:id="1">
    <w:p w:rsidR="009C27D4" w:rsidRDefault="009C27D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1D5652" w:rsidRPr="00636E16" w:rsidRDefault="00FB05E9" w:rsidP="00636E16">
        <w:pPr>
          <w:pStyle w:val="aff"/>
          <w:jc w:val="center"/>
          <w:rPr>
            <w:sz w:val="24"/>
            <w:szCs w:val="24"/>
          </w:rPr>
        </w:pPr>
        <w:r w:rsidRPr="00636E16">
          <w:rPr>
            <w:sz w:val="24"/>
            <w:szCs w:val="24"/>
          </w:rPr>
          <w:fldChar w:fldCharType="begin"/>
        </w:r>
        <w:r w:rsidR="001D5652" w:rsidRPr="00636E16">
          <w:rPr>
            <w:sz w:val="24"/>
            <w:szCs w:val="24"/>
          </w:rPr>
          <w:instrText>PAGE   \* MERGEFORMAT</w:instrText>
        </w:r>
        <w:r w:rsidRPr="00636E16">
          <w:rPr>
            <w:sz w:val="24"/>
            <w:szCs w:val="24"/>
          </w:rPr>
          <w:fldChar w:fldCharType="separate"/>
        </w:r>
        <w:r w:rsidR="00921C2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52266C"/>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D027B54"/>
    <w:multiLevelType w:val="hybridMultilevel"/>
    <w:tmpl w:val="9DA677F2"/>
    <w:lvl w:ilvl="0" w:tplc="830A9CDE">
      <w:start w:val="12"/>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8004D5"/>
    <w:multiLevelType w:val="hybridMultilevel"/>
    <w:tmpl w:val="C29EB55C"/>
    <w:lvl w:ilvl="0" w:tplc="BE3EE6E0">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9">
    <w:nsid w:val="778041AC"/>
    <w:multiLevelType w:val="hybridMultilevel"/>
    <w:tmpl w:val="E97A8330"/>
    <w:lvl w:ilvl="0" w:tplc="9E7ED132">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E0D06A2"/>
    <w:multiLevelType w:val="multilevel"/>
    <w:tmpl w:val="8850C57A"/>
    <w:lvl w:ilvl="0">
      <w:start w:val="1"/>
      <w:numFmt w:val="decimal"/>
      <w:lvlText w:val="%1."/>
      <w:lvlJc w:val="left"/>
      <w:pPr>
        <w:ind w:left="1069"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num w:numId="1">
    <w:abstractNumId w:val="30"/>
  </w:num>
  <w:num w:numId="2">
    <w:abstractNumId w:val="29"/>
  </w:num>
  <w:num w:numId="3">
    <w:abstractNumId w:val="19"/>
  </w:num>
  <w:num w:numId="4">
    <w:abstractNumId w:val="9"/>
  </w:num>
  <w:num w:numId="5">
    <w:abstractNumId w:val="8"/>
  </w:num>
  <w:num w:numId="6">
    <w:abstractNumId w:val="0"/>
  </w:num>
  <w:num w:numId="7">
    <w:abstractNumId w:val="28"/>
  </w:num>
  <w:num w:numId="8">
    <w:abstractNumId w:val="11"/>
  </w:num>
  <w:num w:numId="9">
    <w:abstractNumId w:val="25"/>
  </w:num>
  <w:num w:numId="10">
    <w:abstractNumId w:val="22"/>
  </w:num>
  <w:num w:numId="11">
    <w:abstractNumId w:val="18"/>
  </w:num>
  <w:num w:numId="12">
    <w:abstractNumId w:val="15"/>
  </w:num>
  <w:num w:numId="13">
    <w:abstractNumId w:val="29"/>
  </w:num>
  <w:num w:numId="14">
    <w:abstractNumId w:val="17"/>
  </w:num>
  <w:num w:numId="15">
    <w:abstractNumId w:val="27"/>
  </w:num>
  <w:num w:numId="16">
    <w:abstractNumId w:val="20"/>
  </w:num>
  <w:num w:numId="17">
    <w:abstractNumId w:val="29"/>
  </w:num>
  <w:num w:numId="18">
    <w:abstractNumId w:val="14"/>
  </w:num>
  <w:num w:numId="19">
    <w:abstractNumId w:val="16"/>
  </w:num>
  <w:num w:numId="20">
    <w:abstractNumId w:val="31"/>
  </w:num>
  <w:num w:numId="21">
    <w:abstractNumId w:val="24"/>
  </w:num>
  <w:num w:numId="22">
    <w:abstractNumId w:val="12"/>
  </w:num>
  <w:num w:numId="23">
    <w:abstractNumId w:val="10"/>
  </w:num>
  <w:num w:numId="24">
    <w:abstractNumId w:val="26"/>
  </w:num>
  <w:num w:numId="25">
    <w:abstractNumId w:val="21"/>
  </w:num>
  <w:num w:numId="26">
    <w:abstractNumId w:val="7"/>
  </w:num>
  <w:num w:numId="27">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893"/>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355"/>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652"/>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4C38"/>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3A79"/>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1851"/>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5F8B"/>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1FC"/>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4025"/>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426"/>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2B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6F1"/>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A39"/>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205"/>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C2E"/>
    <w:rsid w:val="00921F54"/>
    <w:rsid w:val="009227C9"/>
    <w:rsid w:val="00922877"/>
    <w:rsid w:val="0092326B"/>
    <w:rsid w:val="00924AF2"/>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27D4"/>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579B"/>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95D"/>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445"/>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37B65"/>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D3B"/>
    <w:rsid w:val="00EC7F00"/>
    <w:rsid w:val="00ED0873"/>
    <w:rsid w:val="00ED1743"/>
    <w:rsid w:val="00ED1C7D"/>
    <w:rsid w:val="00ED1EED"/>
    <w:rsid w:val="00ED39ED"/>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5E9"/>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8B57-C8EA-4739-B356-C622617D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2014-04-04T12:13:00Z</cp:lastPrinted>
  <dcterms:created xsi:type="dcterms:W3CDTF">2014-04-07T10:08:00Z</dcterms:created>
  <dcterms:modified xsi:type="dcterms:W3CDTF">2014-04-07T10:15:00Z</dcterms:modified>
</cp:coreProperties>
</file>