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93131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535B6">
        <w:rPr>
          <w:b/>
          <w:bCs/>
          <w:szCs w:val="28"/>
        </w:rPr>
        <w:t>14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535B6">
        <w:rPr>
          <w:b/>
          <w:bCs/>
          <w:szCs w:val="28"/>
        </w:rPr>
        <w:t>10</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3682A" w:rsidRDefault="00D3682A" w:rsidP="005F410F">
      <w:pPr>
        <w:pStyle w:val="a6"/>
        <w:tabs>
          <w:tab w:val="left" w:pos="142"/>
          <w:tab w:val="left" w:pos="709"/>
          <w:tab w:val="left" w:pos="2800"/>
          <w:tab w:val="left" w:pos="7700"/>
        </w:tabs>
        <w:ind w:firstLine="709"/>
        <w:jc w:val="left"/>
        <w:rPr>
          <w:b/>
          <w:i w:val="0"/>
          <w:u w:val="single"/>
        </w:rPr>
      </w:pPr>
    </w:p>
    <w:p w:rsidR="00D3682A" w:rsidRDefault="00D3682A"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3682A" w:rsidRPr="005947AB" w:rsidRDefault="005947AB" w:rsidP="00D3682A">
      <w:pPr>
        <w:ind w:left="709"/>
        <w:jc w:val="both"/>
        <w:rPr>
          <w:szCs w:val="28"/>
          <w:lang w:val="en-US"/>
        </w:rPr>
      </w:pPr>
      <w:r>
        <w:rPr>
          <w:szCs w:val="28"/>
          <w:lang w:val="en-US"/>
        </w:rPr>
        <w:t>….</w:t>
      </w:r>
    </w:p>
    <w:p w:rsidR="00D3682A" w:rsidRPr="00D3682A" w:rsidRDefault="00D3682A" w:rsidP="00D3682A">
      <w:pPr>
        <w:ind w:left="720"/>
        <w:jc w:val="both"/>
        <w:rPr>
          <w:szCs w:val="28"/>
        </w:rPr>
      </w:pPr>
    </w:p>
    <w:p w:rsidR="00D3682A" w:rsidRPr="00D3682A" w:rsidRDefault="00D3682A" w:rsidP="00D3682A">
      <w:pPr>
        <w:pStyle w:val="26"/>
        <w:numPr>
          <w:ilvl w:val="0"/>
          <w:numId w:val="2"/>
        </w:numPr>
        <w:tabs>
          <w:tab w:val="left" w:pos="708"/>
        </w:tabs>
        <w:spacing w:after="0"/>
        <w:ind w:left="720"/>
        <w:jc w:val="both"/>
        <w:rPr>
          <w:rFonts w:ascii="Times New Roman" w:hAnsi="Times New Roman"/>
          <w:sz w:val="28"/>
          <w:szCs w:val="28"/>
        </w:rPr>
      </w:pPr>
      <w:r w:rsidRPr="00D3682A">
        <w:rPr>
          <w:rFonts w:ascii="Times New Roman" w:hAnsi="Times New Roman"/>
          <w:sz w:val="28"/>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 на приобретение нежилых помещений площадью  657,4 кв</w:t>
      </w:r>
      <w:proofErr w:type="gramStart"/>
      <w:r w:rsidRPr="00D3682A">
        <w:rPr>
          <w:rFonts w:ascii="Times New Roman" w:hAnsi="Times New Roman"/>
          <w:sz w:val="28"/>
          <w:szCs w:val="28"/>
        </w:rPr>
        <w:t>.м</w:t>
      </w:r>
      <w:proofErr w:type="gramEnd"/>
      <w:r w:rsidRPr="00D3682A">
        <w:rPr>
          <w:rFonts w:ascii="Times New Roman" w:hAnsi="Times New Roman"/>
          <w:sz w:val="28"/>
          <w:szCs w:val="28"/>
        </w:rPr>
        <w:t>,  расположенных по адресу: г.</w:t>
      </w:r>
      <w:r>
        <w:rPr>
          <w:rFonts w:ascii="Times New Roman" w:hAnsi="Times New Roman"/>
          <w:sz w:val="28"/>
          <w:szCs w:val="28"/>
        </w:rPr>
        <w:t xml:space="preserve"> </w:t>
      </w:r>
      <w:r w:rsidRPr="00D3682A">
        <w:rPr>
          <w:rFonts w:ascii="Times New Roman" w:hAnsi="Times New Roman"/>
          <w:sz w:val="28"/>
          <w:szCs w:val="28"/>
        </w:rPr>
        <w:t>Москва, Оружейный переулок, 19.</w:t>
      </w:r>
    </w:p>
    <w:p w:rsidR="00D3682A" w:rsidRPr="00D3682A" w:rsidRDefault="00D3682A" w:rsidP="00D3682A">
      <w:pPr>
        <w:pStyle w:val="26"/>
        <w:tabs>
          <w:tab w:val="left" w:pos="708"/>
        </w:tabs>
        <w:spacing w:after="0"/>
        <w:ind w:left="720"/>
        <w:rPr>
          <w:rFonts w:ascii="Times New Roman" w:hAnsi="Times New Roman"/>
          <w:sz w:val="28"/>
          <w:szCs w:val="28"/>
        </w:rPr>
      </w:pPr>
      <w:r w:rsidRPr="00D3682A">
        <w:rPr>
          <w:rFonts w:ascii="Times New Roman" w:hAnsi="Times New Roman"/>
          <w:sz w:val="28"/>
          <w:szCs w:val="28"/>
        </w:rPr>
        <w:t>Докладчик: ЦКПРИ Сироткин К.Е.</w:t>
      </w:r>
    </w:p>
    <w:p w:rsidR="00D3682A" w:rsidRPr="00D3682A" w:rsidRDefault="00D3682A" w:rsidP="00D3682A">
      <w:pPr>
        <w:pStyle w:val="26"/>
        <w:tabs>
          <w:tab w:val="left" w:pos="708"/>
        </w:tabs>
        <w:spacing w:after="0"/>
        <w:ind w:left="720"/>
        <w:rPr>
          <w:rFonts w:ascii="Times New Roman" w:hAnsi="Times New Roman"/>
          <w:color w:val="1F497D"/>
          <w:sz w:val="28"/>
          <w:szCs w:val="28"/>
        </w:rPr>
      </w:pPr>
      <w:r w:rsidRPr="00D3682A">
        <w:rPr>
          <w:rFonts w:ascii="Times New Roman" w:hAnsi="Times New Roman"/>
          <w:sz w:val="28"/>
          <w:szCs w:val="28"/>
        </w:rPr>
        <w:t>Заявка в АСБК: Т10048362.</w:t>
      </w:r>
    </w:p>
    <w:p w:rsidR="00D3682A" w:rsidRPr="00D3682A" w:rsidRDefault="00D3682A" w:rsidP="00D3682A">
      <w:pPr>
        <w:ind w:left="709"/>
        <w:rPr>
          <w:szCs w:val="28"/>
        </w:rPr>
      </w:pPr>
    </w:p>
    <w:p w:rsidR="00EC0EC7" w:rsidRPr="00471C17" w:rsidRDefault="00471C17" w:rsidP="00EC0EC7">
      <w:pPr>
        <w:pStyle w:val="ad"/>
        <w:tabs>
          <w:tab w:val="left" w:pos="851"/>
        </w:tabs>
        <w:ind w:left="709"/>
        <w:jc w:val="both"/>
        <w:rPr>
          <w:szCs w:val="28"/>
          <w:lang w:val="en-US"/>
        </w:rPr>
      </w:pPr>
      <w:r>
        <w:rPr>
          <w:szCs w:val="28"/>
          <w:lang w:val="en-US"/>
        </w:rPr>
        <w:t>….</w:t>
      </w:r>
    </w:p>
    <w:p w:rsidR="00A046D4" w:rsidRDefault="00A046D4" w:rsidP="00A046D4">
      <w:pPr>
        <w:pStyle w:val="ad"/>
        <w:ind w:left="0"/>
        <w:jc w:val="both"/>
      </w:pPr>
    </w:p>
    <w:p w:rsidR="00A046D4" w:rsidRDefault="00A046D4" w:rsidP="00A046D4">
      <w:pPr>
        <w:pStyle w:val="ad"/>
        <w:ind w:left="709"/>
        <w:jc w:val="both"/>
        <w:rPr>
          <w:b/>
          <w:szCs w:val="28"/>
        </w:rPr>
      </w:pPr>
      <w:r w:rsidRPr="004679A3">
        <w:rPr>
          <w:b/>
          <w:szCs w:val="28"/>
        </w:rPr>
        <w:t xml:space="preserve">По пункту </w:t>
      </w:r>
      <w:r w:rsidRPr="004679A3">
        <w:rPr>
          <w:b/>
          <w:szCs w:val="28"/>
          <w:lang w:val="en-US"/>
        </w:rPr>
        <w:t>III</w:t>
      </w:r>
      <w:r w:rsidRPr="004679A3">
        <w:rPr>
          <w:b/>
          <w:szCs w:val="28"/>
        </w:rPr>
        <w:t xml:space="preserve"> повестки дня заседания</w:t>
      </w:r>
      <w:r>
        <w:rPr>
          <w:b/>
          <w:szCs w:val="28"/>
        </w:rPr>
        <w:t xml:space="preserve">: </w:t>
      </w:r>
    </w:p>
    <w:p w:rsidR="00A046D4" w:rsidRPr="008E7323" w:rsidRDefault="00A046D4" w:rsidP="00A046D4">
      <w:pPr>
        <w:pStyle w:val="Default"/>
        <w:numPr>
          <w:ilvl w:val="0"/>
          <w:numId w:val="43"/>
        </w:numPr>
        <w:ind w:left="0" w:firstLine="709"/>
        <w:jc w:val="both"/>
        <w:rPr>
          <w:b/>
          <w:iCs/>
          <w:color w:val="auto"/>
          <w:sz w:val="28"/>
          <w:szCs w:val="28"/>
        </w:rPr>
      </w:pPr>
      <w:r w:rsidRPr="00673AA3">
        <w:rPr>
          <w:sz w:val="28"/>
          <w:szCs w:val="28"/>
        </w:rPr>
        <w:t xml:space="preserve">В соответствии с подпунктом </w:t>
      </w:r>
      <w:r w:rsidRPr="008E7323">
        <w:rPr>
          <w:sz w:val="28"/>
          <w:szCs w:val="28"/>
        </w:rPr>
        <w:t>3</w:t>
      </w:r>
      <w:r>
        <w:rPr>
          <w:sz w:val="28"/>
          <w:szCs w:val="28"/>
        </w:rPr>
        <w:t>1</w:t>
      </w:r>
      <w:r>
        <w:t xml:space="preserve"> </w:t>
      </w:r>
      <w:r w:rsidRPr="00673AA3">
        <w:rPr>
          <w:sz w:val="28"/>
          <w:szCs w:val="28"/>
        </w:rPr>
        <w:t xml:space="preserve">пункта 318 Положения о закупках принято </w:t>
      </w:r>
      <w:proofErr w:type="gramStart"/>
      <w:r w:rsidRPr="00673AA3">
        <w:rPr>
          <w:sz w:val="28"/>
          <w:szCs w:val="28"/>
        </w:rPr>
        <w:t>решение</w:t>
      </w:r>
      <w:proofErr w:type="gramEnd"/>
      <w:r w:rsidRPr="00673AA3">
        <w:rPr>
          <w:sz w:val="28"/>
          <w:szCs w:val="28"/>
        </w:rPr>
        <w:t xml:space="preserve"> о размещении заказа на закупку товаров, выполнение работ и </w:t>
      </w:r>
      <w:r w:rsidRPr="00673AA3">
        <w:rPr>
          <w:sz w:val="28"/>
          <w:szCs w:val="28"/>
        </w:rPr>
        <w:lastRenderedPageBreak/>
        <w:t>оказание услуг у единственного поставщика (исполнителя, подрядчика)</w:t>
      </w:r>
      <w:r>
        <w:rPr>
          <w:sz w:val="28"/>
          <w:szCs w:val="28"/>
        </w:rPr>
        <w:t xml:space="preserve"> </w:t>
      </w:r>
      <w:r w:rsidR="00236DC1">
        <w:rPr>
          <w:sz w:val="28"/>
          <w:szCs w:val="28"/>
        </w:rPr>
        <w:t xml:space="preserve">                </w:t>
      </w:r>
      <w:r w:rsidRPr="00DC41E6">
        <w:rPr>
          <w:color w:val="auto"/>
          <w:sz w:val="28"/>
          <w:szCs w:val="28"/>
        </w:rPr>
        <w:t>ЗАО УК «РВМ Капитал»</w:t>
      </w:r>
      <w:r>
        <w:rPr>
          <w:sz w:val="28"/>
          <w:szCs w:val="28"/>
        </w:rPr>
        <w:t xml:space="preserve"> </w:t>
      </w:r>
      <w:r w:rsidRPr="00673AA3">
        <w:rPr>
          <w:sz w:val="28"/>
          <w:szCs w:val="28"/>
        </w:rPr>
        <w:t>на следующих условиях:</w:t>
      </w:r>
    </w:p>
    <w:p w:rsidR="00A046D4" w:rsidRPr="00A046D4" w:rsidRDefault="00A046D4" w:rsidP="00A046D4">
      <w:pPr>
        <w:jc w:val="both"/>
        <w:rPr>
          <w:i/>
          <w:snapToGrid w:val="0"/>
        </w:rPr>
      </w:pPr>
      <w:r>
        <w:rPr>
          <w:b/>
        </w:rPr>
        <w:tab/>
      </w:r>
      <w:r w:rsidRPr="00A046D4">
        <w:rPr>
          <w:b/>
          <w:snapToGrid w:val="0"/>
        </w:rPr>
        <w:t>Предмет Заказа</w:t>
      </w:r>
      <w:r w:rsidRPr="00A046D4">
        <w:rPr>
          <w:snapToGrid w:val="0"/>
        </w:rPr>
        <w:t xml:space="preserve">: </w:t>
      </w:r>
      <w:r>
        <w:rPr>
          <w:snapToGrid w:val="0"/>
        </w:rPr>
        <w:t>п</w:t>
      </w:r>
      <w:r w:rsidRPr="00A046D4">
        <w:rPr>
          <w:snapToGrid w:val="0"/>
        </w:rPr>
        <w:t>риобретение</w:t>
      </w:r>
      <w:r w:rsidR="007709F0">
        <w:rPr>
          <w:snapToGrid w:val="0"/>
        </w:rPr>
        <w:t xml:space="preserve"> в собственность</w:t>
      </w:r>
      <w:r w:rsidRPr="00A046D4">
        <w:rPr>
          <w:snapToGrid w:val="0"/>
        </w:rPr>
        <w:t xml:space="preserve"> нежилых помещений площадью</w:t>
      </w:r>
      <w:r w:rsidR="007709F0">
        <w:rPr>
          <w:snapToGrid w:val="0"/>
        </w:rPr>
        <w:t xml:space="preserve"> </w:t>
      </w:r>
      <w:r w:rsidRPr="00A046D4">
        <w:rPr>
          <w:snapToGrid w:val="0"/>
        </w:rPr>
        <w:t>657,4 кв</w:t>
      </w:r>
      <w:proofErr w:type="gramStart"/>
      <w:r w:rsidRPr="00A046D4">
        <w:rPr>
          <w:snapToGrid w:val="0"/>
        </w:rPr>
        <w:t>.м</w:t>
      </w:r>
      <w:proofErr w:type="gramEnd"/>
      <w:r w:rsidRPr="00A046D4">
        <w:rPr>
          <w:snapToGrid w:val="0"/>
        </w:rPr>
        <w:t>,  расположенных по адресу: г.</w:t>
      </w:r>
      <w:r>
        <w:rPr>
          <w:snapToGrid w:val="0"/>
        </w:rPr>
        <w:t xml:space="preserve"> </w:t>
      </w:r>
      <w:r w:rsidRPr="00A046D4">
        <w:rPr>
          <w:snapToGrid w:val="0"/>
        </w:rPr>
        <w:t>Москва, Оружейный переулок, 19 (далее – Помещения).</w:t>
      </w:r>
    </w:p>
    <w:p w:rsidR="00A046D4" w:rsidRPr="00A046D4" w:rsidRDefault="00A046D4" w:rsidP="00A046D4">
      <w:pPr>
        <w:tabs>
          <w:tab w:val="left" w:pos="709"/>
        </w:tabs>
        <w:ind w:firstLine="709"/>
        <w:jc w:val="both"/>
        <w:rPr>
          <w:snapToGrid w:val="0"/>
        </w:rPr>
      </w:pPr>
      <w:r w:rsidRPr="00A046D4">
        <w:rPr>
          <w:b/>
          <w:snapToGrid w:val="0"/>
        </w:rPr>
        <w:t>Количество (Объем)</w:t>
      </w:r>
      <w:r>
        <w:rPr>
          <w:b/>
          <w:snapToGrid w:val="0"/>
        </w:rPr>
        <w:t>:</w:t>
      </w:r>
      <w:r w:rsidRPr="00A046D4">
        <w:rPr>
          <w:b/>
          <w:snapToGrid w:val="0"/>
        </w:rPr>
        <w:t xml:space="preserve"> </w:t>
      </w:r>
      <w:r w:rsidRPr="00A046D4">
        <w:rPr>
          <w:snapToGrid w:val="0"/>
        </w:rPr>
        <w:t>657,4 кв.м.</w:t>
      </w:r>
    </w:p>
    <w:p w:rsidR="00A046D4" w:rsidRPr="00A046D4" w:rsidRDefault="00A046D4" w:rsidP="00A046D4">
      <w:pPr>
        <w:tabs>
          <w:tab w:val="left" w:pos="709"/>
        </w:tabs>
        <w:ind w:firstLine="709"/>
        <w:jc w:val="both"/>
        <w:rPr>
          <w:b/>
          <w:snapToGrid w:val="0"/>
        </w:rPr>
      </w:pPr>
      <w:r w:rsidRPr="00A046D4">
        <w:rPr>
          <w:b/>
          <w:snapToGrid w:val="0"/>
        </w:rPr>
        <w:t xml:space="preserve">Максимальная цена договора: </w:t>
      </w:r>
      <w:r w:rsidRPr="00A046D4">
        <w:rPr>
          <w:snapToGrid w:val="0"/>
        </w:rPr>
        <w:t>116 194 023,44  руб</w:t>
      </w:r>
      <w:r>
        <w:rPr>
          <w:snapToGrid w:val="0"/>
        </w:rPr>
        <w:t>.</w:t>
      </w:r>
      <w:r w:rsidRPr="00A046D4">
        <w:rPr>
          <w:snapToGrid w:val="0"/>
        </w:rPr>
        <w:t xml:space="preserve"> (</w:t>
      </w:r>
      <w:r>
        <w:rPr>
          <w:snapToGrid w:val="0"/>
        </w:rPr>
        <w:t>Сто шестнадцать миллионов сто девяносто четыре тысячи двадцать три рубля 44 копейки) без учета НДС. НДС по ставке 18% начисляется отдельно.</w:t>
      </w:r>
    </w:p>
    <w:p w:rsidR="00A046D4" w:rsidRPr="00A046D4" w:rsidRDefault="00A046D4" w:rsidP="00A046D4">
      <w:pPr>
        <w:autoSpaceDE w:val="0"/>
        <w:autoSpaceDN w:val="0"/>
        <w:adjustRightInd w:val="0"/>
        <w:ind w:firstLine="708"/>
        <w:jc w:val="both"/>
        <w:rPr>
          <w:iCs/>
          <w:szCs w:val="28"/>
          <w:lang w:eastAsia="en-US"/>
        </w:rPr>
      </w:pPr>
      <w:r w:rsidRPr="00A046D4">
        <w:rPr>
          <w:b/>
          <w:iCs/>
          <w:szCs w:val="28"/>
          <w:lang w:eastAsia="en-US"/>
        </w:rPr>
        <w:t>Порядок определения цены за</w:t>
      </w:r>
      <w:r w:rsidRPr="00A046D4">
        <w:rPr>
          <w:iCs/>
          <w:szCs w:val="28"/>
          <w:lang w:eastAsia="en-US"/>
        </w:rPr>
        <w:t xml:space="preserve"> помещения установлен договором аренды от 27.06.2012 № </w:t>
      </w:r>
      <w:proofErr w:type="spellStart"/>
      <w:r w:rsidRPr="00A046D4">
        <w:rPr>
          <w:iCs/>
          <w:szCs w:val="28"/>
          <w:lang w:eastAsia="en-US"/>
        </w:rPr>
        <w:t>ТКд</w:t>
      </w:r>
      <w:proofErr w:type="spellEnd"/>
      <w:r w:rsidRPr="00A046D4">
        <w:rPr>
          <w:iCs/>
          <w:szCs w:val="28"/>
          <w:lang w:eastAsia="en-US"/>
        </w:rPr>
        <w:t xml:space="preserve">/12/06/0020, заключенным между </w:t>
      </w:r>
      <w:r w:rsidR="007709F0">
        <w:rPr>
          <w:iCs/>
          <w:szCs w:val="28"/>
          <w:lang w:eastAsia="en-US"/>
        </w:rPr>
        <w:t xml:space="preserve">                             </w:t>
      </w:r>
      <w:r w:rsidRPr="00A046D4">
        <w:rPr>
          <w:iCs/>
          <w:szCs w:val="28"/>
          <w:lang w:eastAsia="en-US"/>
        </w:rPr>
        <w:t xml:space="preserve">ОАО «ТрансКонтейнер» и </w:t>
      </w:r>
      <w:r w:rsidR="007709F0" w:rsidRPr="00A046D4">
        <w:rPr>
          <w:iCs/>
          <w:szCs w:val="28"/>
          <w:lang w:eastAsia="en-US"/>
        </w:rPr>
        <w:t>ЗАО</w:t>
      </w:r>
      <w:r w:rsidR="007709F0">
        <w:rPr>
          <w:iCs/>
          <w:szCs w:val="28"/>
          <w:lang w:eastAsia="en-US"/>
        </w:rPr>
        <w:t xml:space="preserve"> </w:t>
      </w:r>
      <w:r w:rsidRPr="00A046D4">
        <w:rPr>
          <w:iCs/>
          <w:szCs w:val="28"/>
          <w:lang w:eastAsia="en-US"/>
        </w:rPr>
        <w:t>УК «РВМ Капитал». В соответствии с заключенным договором, цена 1 кв.м. выкупаемых помещений составляет 176 747,83 рублей (без учета НДС).</w:t>
      </w:r>
    </w:p>
    <w:p w:rsidR="00A046D4" w:rsidRPr="00A046D4" w:rsidRDefault="00A046D4" w:rsidP="00A046D4">
      <w:pPr>
        <w:tabs>
          <w:tab w:val="num" w:pos="284"/>
          <w:tab w:val="num" w:pos="426"/>
          <w:tab w:val="left" w:pos="709"/>
          <w:tab w:val="left" w:pos="1276"/>
        </w:tabs>
        <w:ind w:firstLine="720"/>
        <w:jc w:val="both"/>
        <w:rPr>
          <w:snapToGrid w:val="0"/>
        </w:rPr>
      </w:pPr>
      <w:r w:rsidRPr="00A046D4">
        <w:rPr>
          <w:b/>
          <w:iCs/>
          <w:snapToGrid w:val="0"/>
          <w:szCs w:val="28"/>
        </w:rPr>
        <w:t xml:space="preserve">Форма, сроки и порядок оплаты: </w:t>
      </w:r>
      <w:r w:rsidRPr="00A046D4">
        <w:rPr>
          <w:iCs/>
          <w:snapToGrid w:val="0"/>
          <w:szCs w:val="28"/>
        </w:rPr>
        <w:t>в</w:t>
      </w:r>
      <w:r w:rsidRPr="00A046D4">
        <w:rPr>
          <w:snapToGrid w:val="0"/>
        </w:rPr>
        <w:t xml:space="preserve"> течение 10 (десяти) рабочих дней с даты подписания договора купли-продажи в размере 10% от максимальной цены договора; в течение 10 (десяти) рабочих дней с даты подачи заявления о государственной регистрации перехода права собственности на Помещения в размере 40% от максимальной цены договора; в</w:t>
      </w:r>
      <w:r w:rsidRPr="00A046D4">
        <w:rPr>
          <w:snapToGrid w:val="0"/>
          <w:color w:val="000000"/>
        </w:rPr>
        <w:t xml:space="preserve"> течение 10 (десяти) рабочих дней с даты</w:t>
      </w:r>
      <w:r w:rsidRPr="00A046D4">
        <w:rPr>
          <w:snapToGrid w:val="0"/>
        </w:rPr>
        <w:t xml:space="preserve"> государственной регистрации перехода права собственности на Помещения в размере 50% от максимальной цены договора.</w:t>
      </w:r>
    </w:p>
    <w:p w:rsidR="00A046D4" w:rsidRPr="00A046D4" w:rsidRDefault="00A046D4" w:rsidP="00236DC1">
      <w:pPr>
        <w:tabs>
          <w:tab w:val="num" w:pos="284"/>
          <w:tab w:val="left" w:pos="709"/>
          <w:tab w:val="left" w:pos="1276"/>
        </w:tabs>
        <w:ind w:firstLine="709"/>
        <w:jc w:val="both"/>
        <w:rPr>
          <w:snapToGrid w:val="0"/>
          <w:szCs w:val="24"/>
        </w:rPr>
      </w:pPr>
      <w:r w:rsidRPr="00A046D4">
        <w:rPr>
          <w:b/>
          <w:iCs/>
          <w:snapToGrid w:val="0"/>
          <w:szCs w:val="28"/>
        </w:rPr>
        <w:t xml:space="preserve">Срок </w:t>
      </w:r>
      <w:r w:rsidRPr="00A046D4">
        <w:rPr>
          <w:snapToGrid w:val="0"/>
          <w:szCs w:val="24"/>
        </w:rPr>
        <w:t xml:space="preserve">подачи Сторонами в регистрирующий орган заявления о регистрации перехода  права собственности, а также пакета документов, необходимых для государственной регистрации перехода к </w:t>
      </w:r>
      <w:r w:rsidRPr="00A046D4">
        <w:rPr>
          <w:snapToGrid w:val="0"/>
          <w:szCs w:val="24"/>
          <w:lang w:eastAsia="ar-SA"/>
        </w:rPr>
        <w:t>Покупателю</w:t>
      </w:r>
      <w:r w:rsidRPr="00A046D4">
        <w:rPr>
          <w:snapToGrid w:val="0"/>
          <w:szCs w:val="24"/>
        </w:rPr>
        <w:t xml:space="preserve"> права собственности на Помещения 30 (тридцать) рабочих дней с даты подписания Договора купли-продажи. </w:t>
      </w:r>
    </w:p>
    <w:p w:rsidR="00A046D4" w:rsidRPr="00A046D4" w:rsidRDefault="00A046D4" w:rsidP="00236DC1">
      <w:pPr>
        <w:autoSpaceDE w:val="0"/>
        <w:autoSpaceDN w:val="0"/>
        <w:adjustRightInd w:val="0"/>
        <w:ind w:firstLine="708"/>
        <w:jc w:val="both"/>
        <w:rPr>
          <w:iCs/>
          <w:szCs w:val="28"/>
          <w:lang w:eastAsia="en-US"/>
        </w:rPr>
      </w:pPr>
      <w:r w:rsidRPr="00A046D4">
        <w:rPr>
          <w:b/>
          <w:iCs/>
          <w:szCs w:val="28"/>
          <w:lang w:eastAsia="en-US"/>
        </w:rPr>
        <w:t xml:space="preserve"> Место</w:t>
      </w:r>
      <w:r w:rsidR="007709F0">
        <w:rPr>
          <w:b/>
          <w:iCs/>
          <w:szCs w:val="28"/>
          <w:lang w:eastAsia="en-US"/>
        </w:rPr>
        <w:t>:</w:t>
      </w:r>
      <w:r w:rsidRPr="00A046D4">
        <w:rPr>
          <w:b/>
          <w:iCs/>
          <w:szCs w:val="28"/>
          <w:lang w:eastAsia="en-US"/>
        </w:rPr>
        <w:t xml:space="preserve"> </w:t>
      </w:r>
      <w:r w:rsidRPr="00A046D4">
        <w:rPr>
          <w:iCs/>
          <w:szCs w:val="28"/>
          <w:lang w:eastAsia="en-US"/>
        </w:rPr>
        <w:t>125047, г.</w:t>
      </w:r>
      <w:r w:rsidR="007709F0">
        <w:rPr>
          <w:iCs/>
          <w:szCs w:val="28"/>
          <w:lang w:eastAsia="en-US"/>
        </w:rPr>
        <w:t xml:space="preserve"> </w:t>
      </w:r>
      <w:r w:rsidRPr="00A046D4">
        <w:rPr>
          <w:iCs/>
          <w:szCs w:val="28"/>
          <w:lang w:eastAsia="en-US"/>
        </w:rPr>
        <w:t xml:space="preserve">Москва, Оружейный переулок, д.19. </w:t>
      </w:r>
    </w:p>
    <w:p w:rsidR="00A046D4" w:rsidRDefault="00A046D4" w:rsidP="00236DC1">
      <w:pPr>
        <w:pStyle w:val="ad"/>
        <w:ind w:left="0" w:firstLine="709"/>
        <w:jc w:val="both"/>
        <w:rPr>
          <w:b/>
          <w:szCs w:val="28"/>
        </w:rPr>
      </w:pPr>
      <w:r w:rsidRPr="00673AA3">
        <w:rPr>
          <w:snapToGrid w:val="0"/>
          <w:szCs w:val="28"/>
        </w:rPr>
        <w:t>2.</w:t>
      </w:r>
      <w:r w:rsidRPr="007B615A">
        <w:rPr>
          <w:b/>
          <w:snapToGrid w:val="0"/>
          <w:szCs w:val="28"/>
        </w:rPr>
        <w:t xml:space="preserve"> </w:t>
      </w:r>
      <w:r w:rsidRPr="007B615A">
        <w:rPr>
          <w:szCs w:val="28"/>
        </w:rPr>
        <w:t xml:space="preserve">Поручить начальнику отдела </w:t>
      </w:r>
      <w:r>
        <w:rPr>
          <w:szCs w:val="28"/>
        </w:rPr>
        <w:t>реестра и управления имуществом</w:t>
      </w:r>
      <w:r w:rsidRPr="007B615A">
        <w:rPr>
          <w:szCs w:val="28"/>
        </w:rPr>
        <w:t xml:space="preserve"> (ЦКП</w:t>
      </w:r>
      <w:r>
        <w:rPr>
          <w:szCs w:val="28"/>
        </w:rPr>
        <w:t>РИ</w:t>
      </w:r>
      <w:r w:rsidRPr="007B615A">
        <w:rPr>
          <w:szCs w:val="28"/>
        </w:rPr>
        <w:t>)</w:t>
      </w:r>
      <w:r>
        <w:rPr>
          <w:szCs w:val="28"/>
        </w:rPr>
        <w:t xml:space="preserve"> Сироткину К.Е. </w:t>
      </w:r>
      <w:r w:rsidRPr="007B615A">
        <w:rPr>
          <w:szCs w:val="28"/>
        </w:rPr>
        <w:t>обеспечить установленным порядком заключение договора</w:t>
      </w:r>
      <w:r>
        <w:rPr>
          <w:szCs w:val="28"/>
        </w:rPr>
        <w:t xml:space="preserve"> с </w:t>
      </w:r>
      <w:r w:rsidRPr="00DC41E6">
        <w:rPr>
          <w:szCs w:val="28"/>
        </w:rPr>
        <w:t>ЗАО УК «РВМ Капитал»</w:t>
      </w:r>
      <w:r>
        <w:rPr>
          <w:szCs w:val="28"/>
        </w:rPr>
        <w:t>.</w:t>
      </w:r>
    </w:p>
    <w:p w:rsidR="00A046D4" w:rsidRPr="004E23C0" w:rsidRDefault="00A046D4" w:rsidP="00EC0EC7">
      <w:pPr>
        <w:pStyle w:val="ad"/>
        <w:tabs>
          <w:tab w:val="left" w:pos="851"/>
        </w:tabs>
        <w:ind w:left="709"/>
        <w:jc w:val="both"/>
        <w:rPr>
          <w:szCs w:val="28"/>
        </w:rPr>
      </w:pPr>
    </w:p>
    <w:p w:rsidR="00E4529C" w:rsidRPr="00471C17" w:rsidRDefault="00471C17" w:rsidP="007B615A">
      <w:pPr>
        <w:pStyle w:val="ad"/>
        <w:ind w:left="709"/>
        <w:jc w:val="both"/>
        <w:rPr>
          <w:szCs w:val="28"/>
          <w:lang w:val="en-US"/>
        </w:rPr>
      </w:pPr>
      <w:r w:rsidRPr="00471C17">
        <w:rPr>
          <w:szCs w:val="28"/>
          <w:lang w:val="en-US"/>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D256A">
            <w:pPr>
              <w:pStyle w:val="a6"/>
              <w:tabs>
                <w:tab w:val="left" w:pos="0"/>
              </w:tabs>
            </w:pPr>
            <w:r w:rsidRPr="00CF45A9">
              <w:rPr>
                <w:i w:val="0"/>
              </w:rPr>
              <w:t>«</w:t>
            </w:r>
            <w:r w:rsidR="004D256A" w:rsidRPr="004D256A">
              <w:rPr>
                <w:i w:val="0"/>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753493" w:rsidRPr="00373BCA" w:rsidRDefault="00753493" w:rsidP="00471C17">
      <w:pPr>
        <w:jc w:val="right"/>
        <w:rPr>
          <w:szCs w:val="28"/>
        </w:rPr>
      </w:pPr>
    </w:p>
    <w:sectPr w:rsidR="00753493" w:rsidRPr="00373BCA"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8D" w:rsidRDefault="00F22F8D" w:rsidP="00B470FA">
      <w:r>
        <w:separator/>
      </w:r>
    </w:p>
  </w:endnote>
  <w:endnote w:type="continuationSeparator" w:id="1">
    <w:p w:rsidR="00F22F8D" w:rsidRDefault="00F22F8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8D" w:rsidRDefault="00F22F8D" w:rsidP="00B470FA">
      <w:r>
        <w:separator/>
      </w:r>
    </w:p>
  </w:footnote>
  <w:footnote w:type="continuationSeparator" w:id="1">
    <w:p w:rsidR="00F22F8D" w:rsidRDefault="00F22F8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931314"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471C17">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3">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5">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9">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1">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6">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0">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7">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58">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8041AC"/>
    <w:multiLevelType w:val="hybridMultilevel"/>
    <w:tmpl w:val="70749144"/>
    <w:lvl w:ilvl="0" w:tplc="6C904166">
      <w:start w:val="3"/>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5">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7">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9">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8"/>
  </w:num>
  <w:num w:numId="2">
    <w:abstractNumId w:val="64"/>
  </w:num>
  <w:num w:numId="3">
    <w:abstractNumId w:val="38"/>
  </w:num>
  <w:num w:numId="4">
    <w:abstractNumId w:val="10"/>
  </w:num>
  <w:num w:numId="5">
    <w:abstractNumId w:val="9"/>
  </w:num>
  <w:num w:numId="6">
    <w:abstractNumId w:val="0"/>
  </w:num>
  <w:num w:numId="7">
    <w:abstractNumId w:val="61"/>
  </w:num>
  <w:num w:numId="8">
    <w:abstractNumId w:val="19"/>
  </w:num>
  <w:num w:numId="9">
    <w:abstractNumId w:val="50"/>
  </w:num>
  <w:num w:numId="10">
    <w:abstractNumId w:val="45"/>
  </w:num>
  <w:num w:numId="11">
    <w:abstractNumId w:val="37"/>
  </w:num>
  <w:num w:numId="12">
    <w:abstractNumId w:val="29"/>
  </w:num>
  <w:num w:numId="13">
    <w:abstractNumId w:val="64"/>
  </w:num>
  <w:num w:numId="14">
    <w:abstractNumId w:val="34"/>
  </w:num>
  <w:num w:numId="15">
    <w:abstractNumId w:val="59"/>
  </w:num>
  <w:num w:numId="16">
    <w:abstractNumId w:val="42"/>
  </w:num>
  <w:num w:numId="17">
    <w:abstractNumId w:val="64"/>
  </w:num>
  <w:num w:numId="18">
    <w:abstractNumId w:val="24"/>
  </w:num>
  <w:num w:numId="19">
    <w:abstractNumId w:val="31"/>
  </w:num>
  <w:num w:numId="20">
    <w:abstractNumId w:val="69"/>
  </w:num>
  <w:num w:numId="21">
    <w:abstractNumId w:val="47"/>
  </w:num>
  <w:num w:numId="22">
    <w:abstractNumId w:val="21"/>
  </w:num>
  <w:num w:numId="23">
    <w:abstractNumId w:val="17"/>
  </w:num>
  <w:num w:numId="24">
    <w:abstractNumId w:val="56"/>
  </w:num>
  <w:num w:numId="25">
    <w:abstractNumId w:val="44"/>
  </w:num>
  <w:num w:numId="26">
    <w:abstractNumId w:val="64"/>
  </w:num>
  <w:num w:numId="27">
    <w:abstractNumId w:val="65"/>
  </w:num>
  <w:num w:numId="28">
    <w:abstractNumId w:val="51"/>
  </w:num>
  <w:num w:numId="29">
    <w:abstractNumId w:val="28"/>
  </w:num>
  <w:num w:numId="30">
    <w:abstractNumId w:val="15"/>
  </w:num>
  <w:num w:numId="31">
    <w:abstractNumId w:val="25"/>
  </w:num>
  <w:num w:numId="32">
    <w:abstractNumId w:val="23"/>
  </w:num>
  <w:num w:numId="33">
    <w:abstractNumId w:val="13"/>
  </w:num>
  <w:num w:numId="34">
    <w:abstractNumId w:val="52"/>
  </w:num>
  <w:num w:numId="35">
    <w:abstractNumId w:val="41"/>
  </w:num>
  <w:num w:numId="36">
    <w:abstractNumId w:val="18"/>
  </w:num>
  <w:num w:numId="37">
    <w:abstractNumId w:val="16"/>
  </w:num>
  <w:num w:numId="38">
    <w:abstractNumId w:val="39"/>
  </w:num>
  <w:num w:numId="39">
    <w:abstractNumId w:val="33"/>
  </w:num>
  <w:num w:numId="40">
    <w:abstractNumId w:val="55"/>
  </w:num>
  <w:num w:numId="41">
    <w:abstractNumId w:val="32"/>
  </w:num>
  <w:num w:numId="42">
    <w:abstractNumId w:val="8"/>
  </w:num>
  <w:num w:numId="43">
    <w:abstractNumId w:val="14"/>
  </w:num>
  <w:num w:numId="44">
    <w:abstractNumId w:val="30"/>
  </w:num>
  <w:num w:numId="45">
    <w:abstractNumId w:val="53"/>
  </w:num>
  <w:num w:numId="4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63"/>
  </w:num>
  <w:num w:numId="51">
    <w:abstractNumId w:val="26"/>
  </w:num>
  <w:num w:numId="52">
    <w:abstractNumId w:val="70"/>
  </w:num>
  <w:num w:numId="53">
    <w:abstractNumId w:val="27"/>
  </w:num>
  <w:num w:numId="54">
    <w:abstractNumId w:val="66"/>
  </w:num>
  <w:num w:numId="55">
    <w:abstractNumId w:val="11"/>
  </w:num>
  <w:num w:numId="56">
    <w:abstractNumId w:val="67"/>
  </w:num>
  <w:num w:numId="57">
    <w:abstractNumId w:val="35"/>
  </w:num>
  <w:num w:numId="58">
    <w:abstractNumId w:val="49"/>
  </w:num>
  <w:num w:numId="59">
    <w:abstractNumId w:val="54"/>
  </w:num>
  <w:num w:numId="60">
    <w:abstractNumId w:val="46"/>
  </w:num>
  <w:num w:numId="61">
    <w:abstractNumId w:val="62"/>
  </w:num>
  <w:num w:numId="62">
    <w:abstractNumId w:val="43"/>
  </w:num>
  <w:num w:numId="63">
    <w:abstractNumId w:val="58"/>
  </w:num>
  <w:num w:numId="64">
    <w:abstractNumId w:val="57"/>
  </w:num>
  <w:num w:numId="65">
    <w:abstractNumId w:val="40"/>
  </w:num>
  <w:num w:numId="66">
    <w:abstractNumId w:val="36"/>
  </w:num>
  <w:num w:numId="67">
    <w:abstractNumId w:val="7"/>
  </w:num>
  <w:num w:numId="68">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36DC1"/>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76BA5"/>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1C17"/>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56A"/>
    <w:rsid w:val="004D2845"/>
    <w:rsid w:val="004D295F"/>
    <w:rsid w:val="004D3263"/>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5A5"/>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7AB"/>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466F"/>
    <w:rsid w:val="0092543D"/>
    <w:rsid w:val="00925688"/>
    <w:rsid w:val="009261C5"/>
    <w:rsid w:val="00926381"/>
    <w:rsid w:val="00926E61"/>
    <w:rsid w:val="0092709A"/>
    <w:rsid w:val="00927268"/>
    <w:rsid w:val="00927639"/>
    <w:rsid w:val="00931160"/>
    <w:rsid w:val="00931314"/>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D98"/>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5282"/>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B9F"/>
    <w:rsid w:val="00D11702"/>
    <w:rsid w:val="00D11E15"/>
    <w:rsid w:val="00D12428"/>
    <w:rsid w:val="00D12E1B"/>
    <w:rsid w:val="00D12E8D"/>
    <w:rsid w:val="00D14C36"/>
    <w:rsid w:val="00D14F68"/>
    <w:rsid w:val="00D169AE"/>
    <w:rsid w:val="00D173B6"/>
    <w:rsid w:val="00D17A37"/>
    <w:rsid w:val="00D17B6D"/>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063"/>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2F8D"/>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37D8-05D9-43BB-8B9F-29BA293D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2573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2014-04-23T15:44:00Z</dcterms:created>
  <dcterms:modified xsi:type="dcterms:W3CDTF">2014-04-23T15:44:00Z</dcterms:modified>
</cp:coreProperties>
</file>