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30D3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709A2">
        <w:rPr>
          <w:b/>
          <w:bCs/>
          <w:szCs w:val="28"/>
        </w:rPr>
        <w:t>2</w:t>
      </w:r>
      <w:r w:rsidR="00AC0F96">
        <w:rPr>
          <w:b/>
          <w:bCs/>
          <w:szCs w:val="28"/>
        </w:rPr>
        <w:t>2</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AC0F96">
        <w:rPr>
          <w:b/>
          <w:bCs/>
          <w:szCs w:val="28"/>
          <w:lang w:val="en-US"/>
        </w:rPr>
        <w:t>22</w:t>
      </w:r>
      <w:r w:rsidR="00280B0E">
        <w:rPr>
          <w:b/>
          <w:bCs/>
          <w:szCs w:val="28"/>
        </w:rPr>
        <w:t>»</w:t>
      </w:r>
      <w:r w:rsidRPr="004679A3">
        <w:rPr>
          <w:b/>
          <w:bCs/>
          <w:szCs w:val="28"/>
        </w:rPr>
        <w:t xml:space="preserve"> </w:t>
      </w:r>
      <w:r w:rsidR="00164335">
        <w:rPr>
          <w:b/>
          <w:bCs/>
          <w:szCs w:val="28"/>
        </w:rPr>
        <w:t>м</w:t>
      </w:r>
      <w:r w:rsidR="004B2A27">
        <w:rPr>
          <w:b/>
          <w:bCs/>
          <w:szCs w:val="28"/>
        </w:rPr>
        <w:t>а</w:t>
      </w:r>
      <w:r w:rsidR="00164335">
        <w:rPr>
          <w:b/>
          <w:bCs/>
          <w:szCs w:val="28"/>
        </w:rPr>
        <w:t>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692CCF">
        <w:trPr>
          <w:trHeight w:val="1049"/>
        </w:trPr>
        <w:tc>
          <w:tcPr>
            <w:tcW w:w="2517" w:type="dxa"/>
          </w:tcPr>
          <w:p w:rsidR="0012088A" w:rsidRPr="00161575" w:rsidRDefault="0012088A" w:rsidP="00553631">
            <w:pPr>
              <w:rPr>
                <w:szCs w:val="28"/>
              </w:rPr>
            </w:pPr>
          </w:p>
        </w:tc>
        <w:tc>
          <w:tcPr>
            <w:tcW w:w="4962" w:type="dxa"/>
          </w:tcPr>
          <w:p w:rsidR="0012088A" w:rsidRPr="00161575" w:rsidRDefault="0012088A" w:rsidP="00692CCF">
            <w:pPr>
              <w:rPr>
                <w:szCs w:val="28"/>
              </w:rPr>
            </w:pPr>
          </w:p>
        </w:tc>
        <w:tc>
          <w:tcPr>
            <w:tcW w:w="2399" w:type="dxa"/>
          </w:tcPr>
          <w:p w:rsidR="0012088A" w:rsidRPr="00161575" w:rsidRDefault="0012088A" w:rsidP="00F11343">
            <w:pPr>
              <w:ind w:left="176" w:hanging="142"/>
              <w:rPr>
                <w:szCs w:val="28"/>
              </w:rPr>
            </w:pPr>
            <w:r w:rsidRPr="00161575">
              <w:rPr>
                <w:szCs w:val="28"/>
              </w:rPr>
              <w:t xml:space="preserve">- </w:t>
            </w:r>
            <w:r w:rsidR="00692CCF">
              <w:rPr>
                <w:szCs w:val="28"/>
              </w:rPr>
              <w:t xml:space="preserve">заместитель </w:t>
            </w:r>
            <w:r w:rsidRPr="00161575">
              <w:rPr>
                <w:szCs w:val="28"/>
              </w:rPr>
              <w:t>председател</w:t>
            </w:r>
            <w:r w:rsidR="00692CCF">
              <w:rPr>
                <w:szCs w:val="28"/>
              </w:rPr>
              <w:t>я</w:t>
            </w:r>
            <w:r w:rsidR="00F11343">
              <w:rPr>
                <w:szCs w:val="28"/>
              </w:rPr>
              <w:t xml:space="preserve"> комиссии</w:t>
            </w:r>
          </w:p>
        </w:tc>
      </w:tr>
      <w:tr w:rsidR="009C309D" w:rsidRPr="00161575" w:rsidTr="00692CCF">
        <w:trPr>
          <w:trHeight w:val="454"/>
        </w:trPr>
        <w:tc>
          <w:tcPr>
            <w:tcW w:w="2517" w:type="dxa"/>
          </w:tcPr>
          <w:p w:rsidR="009C309D" w:rsidRPr="00164335" w:rsidRDefault="009C309D" w:rsidP="00C35F93">
            <w:pPr>
              <w:rPr>
                <w:szCs w:val="28"/>
              </w:rPr>
            </w:pPr>
          </w:p>
        </w:tc>
        <w:tc>
          <w:tcPr>
            <w:tcW w:w="4962" w:type="dxa"/>
          </w:tcPr>
          <w:p w:rsidR="009C309D" w:rsidRPr="00164335" w:rsidRDefault="009C309D" w:rsidP="00164335">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692CCF">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164335" w:rsidRPr="00161575" w:rsidTr="00692CCF">
        <w:trPr>
          <w:trHeight w:val="422"/>
        </w:trPr>
        <w:tc>
          <w:tcPr>
            <w:tcW w:w="2517" w:type="dxa"/>
          </w:tcPr>
          <w:p w:rsidR="00164335" w:rsidRPr="00161575" w:rsidRDefault="00164335" w:rsidP="00C3140C">
            <w:pPr>
              <w:rPr>
                <w:szCs w:val="28"/>
              </w:rPr>
            </w:pPr>
          </w:p>
        </w:tc>
        <w:tc>
          <w:tcPr>
            <w:tcW w:w="4962" w:type="dxa"/>
          </w:tcPr>
          <w:p w:rsidR="00164335" w:rsidRPr="00161575" w:rsidRDefault="00164335" w:rsidP="00C3140C">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E811D1" w:rsidRPr="00161575" w:rsidTr="00692CCF">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2CCF" w:rsidRPr="00161575" w:rsidTr="00692CCF">
        <w:trPr>
          <w:trHeight w:val="454"/>
        </w:trPr>
        <w:tc>
          <w:tcPr>
            <w:tcW w:w="2517" w:type="dxa"/>
          </w:tcPr>
          <w:p w:rsidR="00692CCF" w:rsidRPr="00161575" w:rsidRDefault="00692CCF" w:rsidP="00D61444">
            <w:pPr>
              <w:rPr>
                <w:szCs w:val="28"/>
              </w:rPr>
            </w:pPr>
          </w:p>
        </w:tc>
        <w:tc>
          <w:tcPr>
            <w:tcW w:w="4962" w:type="dxa"/>
          </w:tcPr>
          <w:p w:rsidR="00692CCF" w:rsidRPr="00161575" w:rsidRDefault="00692CCF" w:rsidP="00D61444">
            <w:pPr>
              <w:rPr>
                <w:szCs w:val="28"/>
              </w:rPr>
            </w:pPr>
          </w:p>
        </w:tc>
        <w:tc>
          <w:tcPr>
            <w:tcW w:w="2399" w:type="dxa"/>
          </w:tcPr>
          <w:p w:rsidR="00692CCF" w:rsidRPr="00161575" w:rsidRDefault="00692CCF" w:rsidP="0057231E">
            <w:pPr>
              <w:ind w:left="176" w:hanging="142"/>
              <w:rPr>
                <w:szCs w:val="28"/>
              </w:rPr>
            </w:pPr>
            <w:r w:rsidRPr="00161575">
              <w:rPr>
                <w:szCs w:val="28"/>
              </w:rPr>
              <w:t>- член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A300C0" w:rsidRDefault="00A300C0" w:rsidP="00280B0E">
      <w:pPr>
        <w:pStyle w:val="a6"/>
        <w:tabs>
          <w:tab w:val="left" w:pos="142"/>
          <w:tab w:val="left" w:pos="709"/>
          <w:tab w:val="left" w:pos="2800"/>
          <w:tab w:val="left" w:pos="7700"/>
        </w:tabs>
        <w:jc w:val="left"/>
        <w:rPr>
          <w:b/>
          <w:i w:val="0"/>
          <w:u w:val="single"/>
        </w:rPr>
      </w:pPr>
    </w:p>
    <w:p w:rsidR="001B48AB" w:rsidRPr="00E1121D" w:rsidRDefault="00A30F25" w:rsidP="005F410F">
      <w:pPr>
        <w:pStyle w:val="a6"/>
        <w:tabs>
          <w:tab w:val="left" w:pos="142"/>
          <w:tab w:val="left" w:pos="709"/>
          <w:tab w:val="left" w:pos="2800"/>
          <w:tab w:val="left" w:pos="7700"/>
        </w:tabs>
        <w:ind w:firstLine="709"/>
        <w:jc w:val="left"/>
        <w:rPr>
          <w:b/>
          <w:i w:val="0"/>
          <w:u w:val="single"/>
        </w:rPr>
      </w:pPr>
      <w:r w:rsidRPr="00E1121D">
        <w:rPr>
          <w:b/>
          <w:i w:val="0"/>
          <w:u w:val="single"/>
        </w:rPr>
        <w:t>П</w:t>
      </w:r>
      <w:r w:rsidR="00A6023A" w:rsidRPr="00E1121D">
        <w:rPr>
          <w:b/>
          <w:i w:val="0"/>
          <w:u w:val="single"/>
        </w:rPr>
        <w:t xml:space="preserve">овестка дня </w:t>
      </w:r>
      <w:r w:rsidR="00D73E12" w:rsidRPr="00E1121D">
        <w:rPr>
          <w:b/>
          <w:i w:val="0"/>
          <w:u w:val="single"/>
        </w:rPr>
        <w:t>заседания:</w:t>
      </w:r>
    </w:p>
    <w:p w:rsidR="001B11A6" w:rsidRPr="00E1121D" w:rsidRDefault="001B11A6" w:rsidP="005F410F">
      <w:pPr>
        <w:pStyle w:val="a6"/>
        <w:tabs>
          <w:tab w:val="left" w:pos="142"/>
          <w:tab w:val="left" w:pos="709"/>
          <w:tab w:val="left" w:pos="2800"/>
          <w:tab w:val="left" w:pos="7700"/>
        </w:tabs>
        <w:ind w:firstLine="709"/>
        <w:jc w:val="left"/>
        <w:rPr>
          <w:b/>
          <w:i w:val="0"/>
          <w:u w:val="single"/>
        </w:rPr>
      </w:pPr>
    </w:p>
    <w:p w:rsidR="00656237" w:rsidRPr="00656237" w:rsidRDefault="00656237" w:rsidP="00485CCE">
      <w:pPr>
        <w:pStyle w:val="13"/>
        <w:numPr>
          <w:ilvl w:val="0"/>
          <w:numId w:val="7"/>
        </w:numPr>
        <w:tabs>
          <w:tab w:val="left" w:pos="709"/>
        </w:tabs>
        <w:suppressAutoHyphens/>
        <w:rPr>
          <w:szCs w:val="28"/>
        </w:rPr>
      </w:pPr>
      <w:bookmarkStart w:id="0" w:name="_GoBack"/>
      <w:r w:rsidRPr="00656237">
        <w:rPr>
          <w:szCs w:val="28"/>
        </w:rPr>
        <w:t>Подведение итогов закупки способом размещения оферты на право заключения договора (договоров) на аренду транспортных средств с экипажем для перевозки груженых и порожних контейнеров</w:t>
      </w:r>
      <w:r w:rsidRPr="00656237">
        <w:rPr>
          <w:rFonts w:eastAsia="MS Mincho"/>
          <w:b/>
          <w:bCs/>
          <w:szCs w:val="28"/>
        </w:rPr>
        <w:t xml:space="preserve"> </w:t>
      </w:r>
      <w:r w:rsidRPr="00656237">
        <w:rPr>
          <w:rFonts w:eastAsia="MS Mincho"/>
          <w:bCs/>
          <w:szCs w:val="28"/>
        </w:rPr>
        <w:t>филиала ОАО «ТрансКонтейнер» на Горьковской железной дороге в  г</w:t>
      </w:r>
      <w:proofErr w:type="gramStart"/>
      <w:r w:rsidRPr="00656237">
        <w:rPr>
          <w:rFonts w:eastAsia="MS Mincho"/>
          <w:bCs/>
          <w:szCs w:val="28"/>
        </w:rPr>
        <w:t>.Н</w:t>
      </w:r>
      <w:proofErr w:type="gramEnd"/>
      <w:r w:rsidRPr="00656237">
        <w:rPr>
          <w:rFonts w:eastAsia="MS Mincho"/>
          <w:bCs/>
          <w:szCs w:val="28"/>
        </w:rPr>
        <w:t>ижнем Новгороде и прилегающих районах</w:t>
      </w:r>
      <w:r w:rsidRPr="00656237">
        <w:rPr>
          <w:szCs w:val="28"/>
        </w:rPr>
        <w:t xml:space="preserve"> с момента подписания по 31 декабря 2016г.</w:t>
      </w:r>
    </w:p>
    <w:p w:rsidR="00656237" w:rsidRPr="00656237" w:rsidRDefault="00656237" w:rsidP="00656237">
      <w:pPr>
        <w:ind w:left="709"/>
        <w:jc w:val="both"/>
        <w:rPr>
          <w:szCs w:val="28"/>
        </w:rPr>
      </w:pPr>
      <w:r w:rsidRPr="00656237">
        <w:rPr>
          <w:szCs w:val="28"/>
        </w:rPr>
        <w:t>Докладчик: Токмачева Лариса Викторовна (НКПП)</w:t>
      </w:r>
    </w:p>
    <w:p w:rsidR="00656237" w:rsidRPr="00656237" w:rsidRDefault="00656237" w:rsidP="00656237">
      <w:pPr>
        <w:ind w:left="720"/>
        <w:jc w:val="both"/>
        <w:rPr>
          <w:szCs w:val="28"/>
          <w:shd w:val="clear" w:color="auto" w:fill="FFFFFF"/>
        </w:rPr>
      </w:pPr>
      <w:r w:rsidRPr="00656237">
        <w:rPr>
          <w:szCs w:val="28"/>
        </w:rPr>
        <w:t>Заявки в АСБК: Т10051971</w:t>
      </w:r>
    </w:p>
    <w:p w:rsidR="00656237" w:rsidRPr="00656237" w:rsidRDefault="00656237" w:rsidP="00656237">
      <w:pPr>
        <w:ind w:firstLine="708"/>
        <w:jc w:val="both"/>
        <w:rPr>
          <w:color w:val="000000"/>
          <w:szCs w:val="28"/>
        </w:rPr>
      </w:pPr>
      <w:r w:rsidRPr="00656237">
        <w:rPr>
          <w:szCs w:val="28"/>
        </w:rPr>
        <w:t xml:space="preserve">Конкурс: </w:t>
      </w:r>
      <w:r w:rsidRPr="00656237">
        <w:rPr>
          <w:color w:val="000000"/>
          <w:szCs w:val="28"/>
        </w:rPr>
        <w:t>РО/001/ГОРЬК/0007</w:t>
      </w:r>
    </w:p>
    <w:p w:rsidR="00656237" w:rsidRPr="00656237" w:rsidRDefault="00656237" w:rsidP="00656237">
      <w:pPr>
        <w:ind w:firstLine="708"/>
        <w:jc w:val="both"/>
        <w:rPr>
          <w:color w:val="000000"/>
          <w:szCs w:val="28"/>
        </w:rPr>
      </w:pPr>
    </w:p>
    <w:bookmarkEnd w:id="0"/>
    <w:p w:rsidR="00170BE8" w:rsidRPr="00C13443" w:rsidRDefault="00C13443" w:rsidP="00170BE8">
      <w:pPr>
        <w:rPr>
          <w:szCs w:val="28"/>
          <w:lang w:val="en-US"/>
        </w:rPr>
      </w:pPr>
      <w:r>
        <w:rPr>
          <w:szCs w:val="28"/>
          <w:lang w:val="en-US"/>
        </w:rPr>
        <w:t>….</w:t>
      </w:r>
    </w:p>
    <w:p w:rsidR="0019190C" w:rsidRPr="00E1121D" w:rsidRDefault="0019190C" w:rsidP="0019190C">
      <w:pPr>
        <w:pStyle w:val="ad"/>
        <w:ind w:left="0" w:firstLine="709"/>
        <w:jc w:val="both"/>
        <w:rPr>
          <w:b/>
          <w:szCs w:val="28"/>
        </w:rPr>
      </w:pPr>
    </w:p>
    <w:p w:rsidR="00170BE8" w:rsidRPr="00E1121D" w:rsidRDefault="0019190C" w:rsidP="0019190C">
      <w:pPr>
        <w:pStyle w:val="ad"/>
        <w:ind w:left="0" w:firstLine="709"/>
        <w:jc w:val="both"/>
        <w:rPr>
          <w:b/>
          <w:szCs w:val="28"/>
        </w:rPr>
      </w:pPr>
      <w:r w:rsidRPr="00E1121D">
        <w:rPr>
          <w:b/>
          <w:szCs w:val="28"/>
        </w:rPr>
        <w:t xml:space="preserve">По пункту </w:t>
      </w:r>
      <w:r w:rsidRPr="00E1121D">
        <w:rPr>
          <w:b/>
          <w:szCs w:val="28"/>
          <w:lang w:val="en-US"/>
        </w:rPr>
        <w:t>I</w:t>
      </w:r>
      <w:r w:rsidRPr="00E1121D">
        <w:rPr>
          <w:b/>
          <w:szCs w:val="28"/>
        </w:rPr>
        <w:t xml:space="preserve"> повестки дня заседания: </w:t>
      </w:r>
    </w:p>
    <w:p w:rsidR="00170BE8" w:rsidRPr="00E1121D" w:rsidRDefault="00170BE8" w:rsidP="00170BE8">
      <w:pPr>
        <w:rPr>
          <w:szCs w:val="28"/>
        </w:rPr>
      </w:pPr>
    </w:p>
    <w:p w:rsidR="006E6729" w:rsidRPr="007E08B1" w:rsidRDefault="006E6729" w:rsidP="00485CCE">
      <w:pPr>
        <w:pStyle w:val="ad"/>
        <w:numPr>
          <w:ilvl w:val="0"/>
          <w:numId w:val="8"/>
        </w:numPr>
        <w:ind w:left="0" w:firstLine="567"/>
        <w:jc w:val="both"/>
        <w:rPr>
          <w:szCs w:val="28"/>
        </w:rPr>
      </w:pPr>
      <w:r w:rsidRPr="001B7431">
        <w:rPr>
          <w:szCs w:val="28"/>
        </w:rPr>
        <w:t xml:space="preserve">Согласиться с выводами и предложениями Постоянной рабочей группы Конкурсной комиссии </w:t>
      </w:r>
      <w:r w:rsidR="007E08B1">
        <w:rPr>
          <w:szCs w:val="28"/>
        </w:rPr>
        <w:t>филиала ОАО «ТрансКонтейнер» на Горьковской железной дороге</w:t>
      </w:r>
      <w:r w:rsidRPr="001B7431">
        <w:rPr>
          <w:szCs w:val="28"/>
        </w:rPr>
        <w:t xml:space="preserve"> (Протокол № </w:t>
      </w:r>
      <w:r w:rsidR="007E08B1">
        <w:rPr>
          <w:szCs w:val="28"/>
        </w:rPr>
        <w:t>5</w:t>
      </w:r>
      <w:r w:rsidRPr="001B7431">
        <w:rPr>
          <w:szCs w:val="28"/>
        </w:rPr>
        <w:t>/ПРГ з</w:t>
      </w:r>
      <w:r w:rsidR="007E08B1">
        <w:rPr>
          <w:szCs w:val="28"/>
        </w:rPr>
        <w:t>аседания, состоявшегося 14 мая</w:t>
      </w:r>
      <w:r w:rsidRPr="001B7431">
        <w:rPr>
          <w:szCs w:val="28"/>
        </w:rPr>
        <w:t xml:space="preserve"> 2014 г.) в части принятия решения </w:t>
      </w:r>
      <w:r w:rsidR="007E08B1">
        <w:rPr>
          <w:szCs w:val="28"/>
        </w:rPr>
        <w:t xml:space="preserve">не </w:t>
      </w:r>
      <w:r w:rsidRPr="001B7431">
        <w:rPr>
          <w:szCs w:val="28"/>
        </w:rPr>
        <w:t xml:space="preserve">допустить к участию в закупке </w:t>
      </w:r>
      <w:r w:rsidRPr="001B7431">
        <w:rPr>
          <w:szCs w:val="28"/>
        </w:rPr>
        <w:lastRenderedPageBreak/>
        <w:t xml:space="preserve">способом размещения </w:t>
      </w:r>
      <w:r w:rsidRPr="007E08B1">
        <w:rPr>
          <w:szCs w:val="28"/>
        </w:rPr>
        <w:t xml:space="preserve">оферты </w:t>
      </w:r>
      <w:r w:rsidR="007E08B1" w:rsidRPr="007E08B1">
        <w:rPr>
          <w:szCs w:val="28"/>
        </w:rPr>
        <w:t>Открытое акционерное общество «Российские железные дороги» - Дорожная Ремонтно-эксплуатационная автобаза –структурное подразделение Горьковской железной дороги – филиала Открытого акционерного общества «Российские железные дороги».</w:t>
      </w:r>
    </w:p>
    <w:p w:rsidR="007E08B1" w:rsidRPr="007E08B1" w:rsidRDefault="007E08B1" w:rsidP="00485CCE">
      <w:pPr>
        <w:pStyle w:val="ad"/>
        <w:numPr>
          <w:ilvl w:val="0"/>
          <w:numId w:val="8"/>
        </w:numPr>
        <w:ind w:left="0" w:firstLine="567"/>
        <w:jc w:val="both"/>
        <w:rPr>
          <w:szCs w:val="28"/>
        </w:rPr>
      </w:pPr>
      <w:r w:rsidRPr="001B7431">
        <w:rPr>
          <w:szCs w:val="28"/>
        </w:rPr>
        <w:t xml:space="preserve">Согласиться с выводами и предложениями Постоянной рабочей группы Конкурсной комиссии </w:t>
      </w:r>
      <w:r>
        <w:rPr>
          <w:szCs w:val="28"/>
        </w:rPr>
        <w:t>филиала ОАО «ТрансКонтейнер» на Горьковской железной дороге</w:t>
      </w:r>
      <w:r w:rsidRPr="001B7431">
        <w:rPr>
          <w:szCs w:val="28"/>
        </w:rPr>
        <w:t xml:space="preserve"> (Протокол № </w:t>
      </w:r>
      <w:r>
        <w:rPr>
          <w:szCs w:val="28"/>
        </w:rPr>
        <w:t>5</w:t>
      </w:r>
      <w:r w:rsidRPr="001B7431">
        <w:rPr>
          <w:szCs w:val="28"/>
        </w:rPr>
        <w:t>/ПРГ з</w:t>
      </w:r>
      <w:r>
        <w:rPr>
          <w:szCs w:val="28"/>
        </w:rPr>
        <w:t>аседания, состоявшегося 14 мая</w:t>
      </w:r>
      <w:r w:rsidRPr="001B7431">
        <w:rPr>
          <w:szCs w:val="28"/>
        </w:rPr>
        <w:t xml:space="preserve"> 20</w:t>
      </w:r>
      <w:r>
        <w:rPr>
          <w:szCs w:val="28"/>
        </w:rPr>
        <w:t xml:space="preserve">14 г.) в части принятия решения </w:t>
      </w:r>
      <w:r w:rsidRPr="001B7431">
        <w:rPr>
          <w:szCs w:val="28"/>
        </w:rPr>
        <w:t xml:space="preserve">допустить к участию в закупке способом размещения оферты </w:t>
      </w:r>
      <w:r>
        <w:rPr>
          <w:szCs w:val="28"/>
        </w:rPr>
        <w:t xml:space="preserve">ООО </w:t>
      </w:r>
      <w:r w:rsidRPr="00581C51">
        <w:rPr>
          <w:szCs w:val="28"/>
        </w:rPr>
        <w:t>«Заречное НН»</w:t>
      </w:r>
      <w:r>
        <w:rPr>
          <w:szCs w:val="28"/>
        </w:rPr>
        <w:t xml:space="preserve">, ИП </w:t>
      </w:r>
      <w:r w:rsidRPr="00581C51">
        <w:rPr>
          <w:szCs w:val="28"/>
        </w:rPr>
        <w:t>Андрианов</w:t>
      </w:r>
      <w:r>
        <w:rPr>
          <w:szCs w:val="28"/>
        </w:rPr>
        <w:t xml:space="preserve"> П.В., ИП Фокин Ю.Н., ООО </w:t>
      </w:r>
      <w:r w:rsidRPr="00581C51">
        <w:rPr>
          <w:szCs w:val="28"/>
        </w:rPr>
        <w:t>«ТрансМагистральАвто»</w:t>
      </w:r>
      <w:r>
        <w:rPr>
          <w:szCs w:val="28"/>
        </w:rPr>
        <w:t xml:space="preserve">, ООО </w:t>
      </w:r>
      <w:r w:rsidRPr="00581C51">
        <w:rPr>
          <w:color w:val="000000"/>
        </w:rPr>
        <w:t>«Нижегородский партнер»</w:t>
      </w:r>
      <w:r>
        <w:rPr>
          <w:color w:val="000000"/>
        </w:rPr>
        <w:t xml:space="preserve">, </w:t>
      </w:r>
      <w:r w:rsidR="003B15D4">
        <w:rPr>
          <w:color w:val="000000"/>
        </w:rPr>
        <w:t xml:space="preserve">       </w:t>
      </w:r>
      <w:r>
        <w:rPr>
          <w:color w:val="000000"/>
        </w:rPr>
        <w:t xml:space="preserve">ООО </w:t>
      </w:r>
      <w:r w:rsidRPr="00581C51">
        <w:rPr>
          <w:color w:val="000000"/>
        </w:rPr>
        <w:t>«Страж-НН»</w:t>
      </w:r>
      <w:r>
        <w:rPr>
          <w:color w:val="000000"/>
        </w:rPr>
        <w:t xml:space="preserve"> и ИП Семин Е.В. </w:t>
      </w:r>
      <w:r w:rsidRPr="001B7431">
        <w:rPr>
          <w:szCs w:val="28"/>
        </w:rPr>
        <w:t xml:space="preserve">и признать их участниками закупки способом размещения оферты. </w:t>
      </w:r>
    </w:p>
    <w:p w:rsidR="006E6729" w:rsidRPr="00D211D0" w:rsidRDefault="006E6729" w:rsidP="00485CCE">
      <w:pPr>
        <w:pStyle w:val="Default"/>
        <w:numPr>
          <w:ilvl w:val="0"/>
          <w:numId w:val="8"/>
        </w:numPr>
        <w:ind w:left="0" w:firstLine="709"/>
        <w:jc w:val="both"/>
        <w:rPr>
          <w:sz w:val="28"/>
          <w:szCs w:val="28"/>
        </w:rPr>
      </w:pPr>
      <w:r w:rsidRPr="00E9386E">
        <w:rPr>
          <w:sz w:val="28"/>
          <w:szCs w:val="28"/>
        </w:rPr>
        <w:t>Согласиться с выводами и предложе</w:t>
      </w:r>
      <w:r>
        <w:rPr>
          <w:sz w:val="28"/>
          <w:szCs w:val="28"/>
        </w:rPr>
        <w:t xml:space="preserve">ниями Постоянной рабочей группы </w:t>
      </w:r>
      <w:r w:rsidRPr="00E9386E">
        <w:rPr>
          <w:sz w:val="28"/>
          <w:szCs w:val="28"/>
        </w:rPr>
        <w:t xml:space="preserve">Конкурсной </w:t>
      </w:r>
      <w:r w:rsidRPr="007E08B1">
        <w:rPr>
          <w:sz w:val="28"/>
          <w:szCs w:val="28"/>
        </w:rPr>
        <w:t xml:space="preserve">комиссии </w:t>
      </w:r>
      <w:r w:rsidR="007E08B1" w:rsidRPr="007E08B1">
        <w:rPr>
          <w:sz w:val="28"/>
          <w:szCs w:val="28"/>
        </w:rPr>
        <w:t>филиала ОАО «ТрансКонтейнер» на Горьковской железной дороге (Протокол № 5/ПРГ заседания, состоявшегося 14 мая 2014 г.)</w:t>
      </w:r>
      <w:r w:rsidRPr="007E08B1">
        <w:rPr>
          <w:sz w:val="28"/>
          <w:szCs w:val="28"/>
        </w:rPr>
        <w:t xml:space="preserve"> в</w:t>
      </w:r>
      <w:r w:rsidRPr="00E9386E">
        <w:rPr>
          <w:sz w:val="28"/>
          <w:szCs w:val="28"/>
        </w:rPr>
        <w:t xml:space="preserve"> части принятия решения о заключении с участниками закупки способом размещения оферты договоров на следующих условиях:</w:t>
      </w:r>
    </w:p>
    <w:p w:rsidR="007E08B1" w:rsidRDefault="007E08B1" w:rsidP="007E08B1">
      <w:pPr>
        <w:ind w:firstLine="709"/>
        <w:jc w:val="both"/>
      </w:pPr>
      <w:r w:rsidRPr="007E08B1">
        <w:rPr>
          <w:b/>
          <w:szCs w:val="28"/>
        </w:rPr>
        <w:t>Предмет договора:</w:t>
      </w:r>
      <w:r w:rsidRPr="007E08B1">
        <w:rPr>
          <w:szCs w:val="28"/>
        </w:rPr>
        <w:t xml:space="preserve"> </w:t>
      </w:r>
      <w:r w:rsidRPr="007E08B1">
        <w:rPr>
          <w:bCs/>
        </w:rPr>
        <w:t xml:space="preserve">аренда транспортного средства с экипажем </w:t>
      </w:r>
      <w:r w:rsidR="001F0D6D" w:rsidRPr="00656237">
        <w:rPr>
          <w:szCs w:val="28"/>
        </w:rPr>
        <w:t>для перевозки груженых и порожних контейнеров</w:t>
      </w:r>
      <w:r w:rsidRPr="007E08B1">
        <w:rPr>
          <w:bCs/>
        </w:rPr>
        <w:t xml:space="preserve"> филиала </w:t>
      </w:r>
      <w:r w:rsidR="003B7BB5">
        <w:rPr>
          <w:bCs/>
        </w:rPr>
        <w:t xml:space="preserve">                                    </w:t>
      </w:r>
      <w:r w:rsidRPr="007E08B1">
        <w:rPr>
          <w:bCs/>
        </w:rPr>
        <w:t xml:space="preserve">ОАО «ТрансКонтейнер» на Горьковской железной дороге в </w:t>
      </w:r>
      <w:proofErr w:type="gramStart"/>
      <w:r w:rsidRPr="007E08B1">
        <w:rPr>
          <w:bCs/>
        </w:rPr>
        <w:t>г</w:t>
      </w:r>
      <w:proofErr w:type="gramEnd"/>
      <w:r w:rsidRPr="007E08B1">
        <w:rPr>
          <w:bCs/>
        </w:rPr>
        <w:t>. Нижнем Новгороде и прилегающих районах</w:t>
      </w:r>
      <w:r w:rsidRPr="00581C51">
        <w:t>.</w:t>
      </w:r>
    </w:p>
    <w:p w:rsidR="003B15D4" w:rsidRDefault="007E08B1" w:rsidP="007E08B1">
      <w:pPr>
        <w:ind w:firstLine="709"/>
        <w:jc w:val="both"/>
        <w:rPr>
          <w:color w:val="000000"/>
        </w:rPr>
      </w:pPr>
      <w:r w:rsidRPr="007E08B1">
        <w:rPr>
          <w:b/>
          <w:color w:val="000000"/>
        </w:rPr>
        <w:t xml:space="preserve">Максимальная (совокупная) цена договора </w:t>
      </w:r>
      <w:r w:rsidRPr="007E08B1">
        <w:rPr>
          <w:b/>
        </w:rPr>
        <w:t>(договоров), заключаемых по итогам процедуры Размещения оферты</w:t>
      </w:r>
      <w:r w:rsidRPr="007E08B1">
        <w:rPr>
          <w:b/>
          <w:color w:val="000000"/>
        </w:rPr>
        <w:t xml:space="preserve"> составляет:</w:t>
      </w:r>
      <w:r w:rsidRPr="007E08B1">
        <w:rPr>
          <w:color w:val="000000"/>
        </w:rPr>
        <w:t xml:space="preserve"> </w:t>
      </w:r>
      <w:r w:rsidR="003B15D4">
        <w:rPr>
          <w:szCs w:val="28"/>
        </w:rPr>
        <w:t xml:space="preserve">70 673 703,00 </w:t>
      </w:r>
      <w:r w:rsidRPr="007E08B1">
        <w:rPr>
          <w:szCs w:val="28"/>
        </w:rPr>
        <w:t>(семьдесят миллионов шестьсот семьдеся</w:t>
      </w:r>
      <w:r w:rsidR="003B15D4">
        <w:rPr>
          <w:szCs w:val="28"/>
        </w:rPr>
        <w:t>т три тысячи семьсот три) рубля</w:t>
      </w:r>
      <w:r w:rsidRPr="007E08B1">
        <w:rPr>
          <w:color w:val="000000"/>
        </w:rPr>
        <w:t xml:space="preserve"> с учетом всех налогов (кроме НДС</w:t>
      </w:r>
      <w:r w:rsidR="003B15D4">
        <w:rPr>
          <w:color w:val="000000"/>
        </w:rPr>
        <w:t>) и расходов поставщика.</w:t>
      </w:r>
    </w:p>
    <w:p w:rsidR="007E08B1" w:rsidRDefault="007E08B1" w:rsidP="007E08B1">
      <w:pPr>
        <w:ind w:firstLine="709"/>
        <w:jc w:val="both"/>
      </w:pPr>
      <w:r w:rsidRPr="007E08B1">
        <w:rPr>
          <w:b/>
        </w:rPr>
        <w:t xml:space="preserve">Стоимость оказываемых услуг: </w:t>
      </w:r>
      <w:r>
        <w:t xml:space="preserve">приведена в </w:t>
      </w:r>
      <w:r w:rsidRPr="003B15D4">
        <w:t>П</w:t>
      </w:r>
      <w:r w:rsidR="00096DB2" w:rsidRPr="003B15D4">
        <w:t>риложении</w:t>
      </w:r>
      <w:r w:rsidRPr="003B15D4">
        <w:t xml:space="preserve"> № 1</w:t>
      </w:r>
      <w:r>
        <w:t xml:space="preserve"> </w:t>
      </w:r>
      <w:r w:rsidR="00096DB2">
        <w:t>к настоящему П</w:t>
      </w:r>
      <w:r>
        <w:t>ротоколу.</w:t>
      </w:r>
    </w:p>
    <w:p w:rsidR="007E08B1" w:rsidRPr="007E08B1" w:rsidRDefault="007E08B1" w:rsidP="004B059B">
      <w:pPr>
        <w:ind w:firstLine="709"/>
        <w:jc w:val="both"/>
        <w:rPr>
          <w:rFonts w:eastAsia="MS Mincho"/>
        </w:rPr>
      </w:pPr>
      <w:r w:rsidRPr="007E08B1">
        <w:rPr>
          <w:rFonts w:eastAsia="MS Mincho"/>
        </w:rPr>
        <w:t>Цена по договору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r w:rsidR="000B49C0">
        <w:rPr>
          <w:rFonts w:eastAsia="MS Mincho"/>
        </w:rPr>
        <w:t xml:space="preserve"> </w:t>
      </w:r>
      <w:r w:rsidRPr="007E08B1">
        <w:rPr>
          <w:rFonts w:eastAsia="MS Mincho"/>
        </w:rPr>
        <w:t>договор заключен на срок более 12 месяцев;</w:t>
      </w:r>
      <w:r w:rsidR="000B49C0">
        <w:rPr>
          <w:rFonts w:eastAsia="MS Mincho"/>
        </w:rPr>
        <w:t xml:space="preserve"> </w:t>
      </w:r>
      <w:r w:rsidRPr="007E08B1">
        <w:rPr>
          <w:rFonts w:eastAsia="MS Mincho"/>
        </w:rPr>
        <w:t>увеличение цены на работы, услуги возможно не ранее, чем через 6 месяцев с даты заключения договора и не чаще одного раза в течение года;</w:t>
      </w:r>
      <w:r w:rsidR="000B49C0">
        <w:rPr>
          <w:rFonts w:eastAsia="MS Mincho"/>
        </w:rPr>
        <w:t xml:space="preserve"> </w:t>
      </w:r>
      <w:r w:rsidRPr="00BA10B5">
        <w:t>арендная плата не может быть увеличена более чем на 10% (десять процентов) в год от первоначально согласованной</w:t>
      </w:r>
      <w:r>
        <w:t>.</w:t>
      </w:r>
    </w:p>
    <w:p w:rsidR="007E08B1" w:rsidRDefault="007E08B1" w:rsidP="007E08B1">
      <w:pPr>
        <w:pStyle w:val="13"/>
        <w:tabs>
          <w:tab w:val="left" w:pos="993"/>
        </w:tabs>
        <w:suppressAutoHyphens/>
        <w:ind w:firstLine="709"/>
        <w:rPr>
          <w:szCs w:val="28"/>
        </w:rPr>
      </w:pPr>
      <w:r w:rsidRPr="00605B3A">
        <w:rPr>
          <w:b/>
          <w:szCs w:val="28"/>
        </w:rPr>
        <w:t xml:space="preserve">Сроки </w:t>
      </w:r>
      <w:r>
        <w:rPr>
          <w:b/>
          <w:szCs w:val="28"/>
        </w:rPr>
        <w:t>оказания услуг</w:t>
      </w:r>
      <w:r w:rsidRPr="00605B3A">
        <w:rPr>
          <w:b/>
          <w:szCs w:val="28"/>
        </w:rPr>
        <w:t>:</w:t>
      </w:r>
      <w:r>
        <w:rPr>
          <w:b/>
          <w:szCs w:val="28"/>
        </w:rPr>
        <w:t xml:space="preserve"> </w:t>
      </w:r>
      <w:r w:rsidRPr="00DE1F40">
        <w:rPr>
          <w:szCs w:val="28"/>
        </w:rPr>
        <w:t xml:space="preserve">с момента подписания </w:t>
      </w:r>
      <w:r>
        <w:rPr>
          <w:szCs w:val="28"/>
        </w:rPr>
        <w:t xml:space="preserve">договора </w:t>
      </w:r>
      <w:r w:rsidRPr="00DE1F40">
        <w:rPr>
          <w:szCs w:val="28"/>
        </w:rPr>
        <w:t>по 31 декабря 2016г.</w:t>
      </w:r>
    </w:p>
    <w:p w:rsidR="007E08B1" w:rsidRPr="007E08B1" w:rsidRDefault="007E08B1" w:rsidP="007E08B1">
      <w:pPr>
        <w:suppressAutoHyphens/>
        <w:ind w:firstLine="709"/>
        <w:jc w:val="both"/>
      </w:pPr>
      <w:r w:rsidRPr="007E08B1">
        <w:rPr>
          <w:b/>
          <w:iCs/>
          <w:szCs w:val="28"/>
        </w:rPr>
        <w:t xml:space="preserve">Форма и порядок оплаты: </w:t>
      </w:r>
      <w:r w:rsidRPr="002C4C4A">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E08B1" w:rsidRPr="007E08B1" w:rsidRDefault="007E08B1" w:rsidP="007E08B1">
      <w:pPr>
        <w:ind w:firstLine="709"/>
        <w:jc w:val="both"/>
        <w:rPr>
          <w:color w:val="000000"/>
          <w:lang w:eastAsia="ar-SA"/>
        </w:rPr>
      </w:pPr>
      <w:r w:rsidRPr="007E08B1">
        <w:rPr>
          <w:b/>
          <w:iCs/>
          <w:szCs w:val="28"/>
        </w:rPr>
        <w:t xml:space="preserve">Место оказания услуг: </w:t>
      </w:r>
      <w:r w:rsidRPr="007E08B1">
        <w:rPr>
          <w:szCs w:val="28"/>
        </w:rPr>
        <w:t>г. Нижний Новгород и прилегающие районы.</w:t>
      </w:r>
      <w:r w:rsidRPr="007E08B1">
        <w:rPr>
          <w:color w:val="000000"/>
          <w:lang w:eastAsia="ar-SA"/>
        </w:rPr>
        <w:t xml:space="preserve"> </w:t>
      </w:r>
    </w:p>
    <w:p w:rsidR="006E6729" w:rsidRPr="004B059B" w:rsidRDefault="007E08B1" w:rsidP="007E08B1">
      <w:pPr>
        <w:pStyle w:val="Default"/>
        <w:ind w:firstLine="709"/>
        <w:jc w:val="both"/>
        <w:rPr>
          <w:color w:val="00000A"/>
          <w:sz w:val="28"/>
          <w:szCs w:val="28"/>
        </w:rPr>
      </w:pPr>
      <w:r w:rsidRPr="007E08B1">
        <w:rPr>
          <w:b/>
          <w:sz w:val="28"/>
          <w:szCs w:val="28"/>
          <w:lang w:eastAsia="ar-SA"/>
        </w:rPr>
        <w:t>Иные условия:</w:t>
      </w:r>
      <w:r w:rsidRPr="007E08B1">
        <w:rPr>
          <w:sz w:val="28"/>
          <w:szCs w:val="28"/>
          <w:lang w:eastAsia="ar-SA"/>
        </w:rPr>
        <w:t xml:space="preserve"> Стороны вправе согласовать в случае необходимости</w:t>
      </w:r>
      <w:r w:rsidR="002A768B">
        <w:rPr>
          <w:sz w:val="28"/>
          <w:szCs w:val="28"/>
          <w:lang w:eastAsia="ar-SA"/>
        </w:rPr>
        <w:t xml:space="preserve"> внесения</w:t>
      </w:r>
      <w:r w:rsidR="002A768B" w:rsidRPr="007E08B1">
        <w:rPr>
          <w:sz w:val="28"/>
          <w:szCs w:val="28"/>
          <w:lang w:eastAsia="ar-SA"/>
        </w:rPr>
        <w:t xml:space="preserve"> </w:t>
      </w:r>
      <w:r w:rsidR="002A768B">
        <w:rPr>
          <w:sz w:val="28"/>
          <w:szCs w:val="28"/>
          <w:lang w:eastAsia="ar-SA"/>
        </w:rPr>
        <w:t>изменений</w:t>
      </w:r>
      <w:r w:rsidRPr="007E08B1">
        <w:rPr>
          <w:sz w:val="28"/>
          <w:szCs w:val="28"/>
          <w:lang w:eastAsia="ar-SA"/>
        </w:rPr>
        <w:t xml:space="preserve"> </w:t>
      </w:r>
      <w:r w:rsidR="006B26B4" w:rsidRPr="007E08B1">
        <w:rPr>
          <w:sz w:val="28"/>
          <w:szCs w:val="28"/>
          <w:lang w:eastAsia="ar-SA"/>
        </w:rPr>
        <w:t xml:space="preserve">в </w:t>
      </w:r>
      <w:r w:rsidR="006B26B4" w:rsidRPr="004B059B">
        <w:rPr>
          <w:sz w:val="28"/>
          <w:szCs w:val="28"/>
          <w:lang w:eastAsia="ar-SA"/>
        </w:rPr>
        <w:t xml:space="preserve">договор </w:t>
      </w:r>
      <w:r w:rsidR="006B26B4">
        <w:rPr>
          <w:sz w:val="28"/>
          <w:szCs w:val="28"/>
          <w:lang w:eastAsia="ar-SA"/>
        </w:rPr>
        <w:t>(</w:t>
      </w:r>
      <w:r w:rsidRPr="007E08B1">
        <w:rPr>
          <w:sz w:val="28"/>
          <w:szCs w:val="28"/>
          <w:lang w:eastAsia="ar-SA"/>
        </w:rPr>
        <w:t>дополнительн</w:t>
      </w:r>
      <w:r w:rsidR="006B26B4">
        <w:rPr>
          <w:sz w:val="28"/>
          <w:szCs w:val="28"/>
          <w:lang w:eastAsia="ar-SA"/>
        </w:rPr>
        <w:t>ая</w:t>
      </w:r>
      <w:r w:rsidRPr="007E08B1">
        <w:rPr>
          <w:sz w:val="28"/>
          <w:szCs w:val="28"/>
          <w:lang w:eastAsia="ar-SA"/>
        </w:rPr>
        <w:t xml:space="preserve"> </w:t>
      </w:r>
      <w:r w:rsidR="006B26B4" w:rsidRPr="007E08B1">
        <w:rPr>
          <w:sz w:val="28"/>
          <w:szCs w:val="28"/>
          <w:lang w:eastAsia="ar-SA"/>
        </w:rPr>
        <w:t>зон</w:t>
      </w:r>
      <w:r w:rsidR="006B26B4">
        <w:rPr>
          <w:sz w:val="28"/>
          <w:szCs w:val="28"/>
          <w:lang w:eastAsia="ar-SA"/>
        </w:rPr>
        <w:t>а</w:t>
      </w:r>
      <w:r w:rsidRPr="007E08B1">
        <w:rPr>
          <w:sz w:val="28"/>
          <w:szCs w:val="28"/>
          <w:lang w:eastAsia="ar-SA"/>
        </w:rPr>
        <w:t xml:space="preserve">, маршрут, </w:t>
      </w:r>
      <w:r w:rsidR="006B26B4" w:rsidRPr="007E08B1">
        <w:rPr>
          <w:sz w:val="28"/>
          <w:szCs w:val="28"/>
          <w:lang w:eastAsia="ar-SA"/>
        </w:rPr>
        <w:t>расстояни</w:t>
      </w:r>
      <w:r w:rsidR="006B26B4">
        <w:rPr>
          <w:sz w:val="28"/>
          <w:szCs w:val="28"/>
          <w:lang w:eastAsia="ar-SA"/>
        </w:rPr>
        <w:t>е</w:t>
      </w:r>
      <w:r w:rsidRPr="007E08B1">
        <w:rPr>
          <w:sz w:val="28"/>
          <w:szCs w:val="28"/>
          <w:lang w:eastAsia="ar-SA"/>
        </w:rPr>
        <w:t xml:space="preserve">, </w:t>
      </w:r>
      <w:r w:rsidR="006B26B4" w:rsidRPr="007E08B1">
        <w:rPr>
          <w:sz w:val="28"/>
          <w:szCs w:val="28"/>
          <w:lang w:eastAsia="ar-SA"/>
        </w:rPr>
        <w:t>временно</w:t>
      </w:r>
      <w:r w:rsidR="006B26B4">
        <w:rPr>
          <w:sz w:val="28"/>
          <w:szCs w:val="28"/>
          <w:lang w:eastAsia="ar-SA"/>
        </w:rPr>
        <w:t>й</w:t>
      </w:r>
      <w:r w:rsidR="006B26B4" w:rsidRPr="007E08B1">
        <w:rPr>
          <w:sz w:val="28"/>
          <w:szCs w:val="28"/>
          <w:lang w:eastAsia="ar-SA"/>
        </w:rPr>
        <w:t xml:space="preserve"> </w:t>
      </w:r>
      <w:r w:rsidRPr="007E08B1">
        <w:rPr>
          <w:sz w:val="28"/>
          <w:szCs w:val="28"/>
          <w:lang w:eastAsia="ar-SA"/>
        </w:rPr>
        <w:t xml:space="preserve">диапазон, </w:t>
      </w:r>
      <w:r w:rsidR="006B26B4" w:rsidRPr="007E08B1">
        <w:rPr>
          <w:sz w:val="28"/>
          <w:szCs w:val="28"/>
          <w:lang w:eastAsia="ar-SA"/>
        </w:rPr>
        <w:t>изменени</w:t>
      </w:r>
      <w:r w:rsidR="006B26B4">
        <w:rPr>
          <w:sz w:val="28"/>
          <w:szCs w:val="28"/>
          <w:lang w:eastAsia="ar-SA"/>
        </w:rPr>
        <w:t>е</w:t>
      </w:r>
      <w:r w:rsidR="006B26B4" w:rsidRPr="007E08B1">
        <w:rPr>
          <w:sz w:val="28"/>
          <w:szCs w:val="28"/>
          <w:lang w:eastAsia="ar-SA"/>
        </w:rPr>
        <w:t xml:space="preserve"> </w:t>
      </w:r>
      <w:r w:rsidRPr="007E08B1">
        <w:rPr>
          <w:sz w:val="28"/>
          <w:szCs w:val="28"/>
          <w:lang w:eastAsia="ar-SA"/>
        </w:rPr>
        <w:t>перечня водителей и др.</w:t>
      </w:r>
      <w:r w:rsidR="006B26B4">
        <w:rPr>
          <w:sz w:val="28"/>
          <w:szCs w:val="28"/>
          <w:lang w:eastAsia="ar-SA"/>
        </w:rPr>
        <w:t>)</w:t>
      </w:r>
      <w:r w:rsidRPr="007E08B1">
        <w:rPr>
          <w:sz w:val="28"/>
          <w:szCs w:val="28"/>
          <w:lang w:eastAsia="ar-SA"/>
        </w:rPr>
        <w:t xml:space="preserve"> </w:t>
      </w:r>
      <w:r w:rsidR="006B26B4">
        <w:rPr>
          <w:sz w:val="28"/>
          <w:szCs w:val="28"/>
          <w:lang w:eastAsia="ar-SA"/>
        </w:rPr>
        <w:t>п</w:t>
      </w:r>
      <w:r w:rsidRPr="004B059B">
        <w:rPr>
          <w:sz w:val="28"/>
          <w:szCs w:val="28"/>
          <w:lang w:eastAsia="ar-SA"/>
        </w:rPr>
        <w:t>одписани</w:t>
      </w:r>
      <w:r w:rsidR="006B26B4">
        <w:rPr>
          <w:sz w:val="28"/>
          <w:szCs w:val="28"/>
          <w:lang w:eastAsia="ar-SA"/>
        </w:rPr>
        <w:t>е</w:t>
      </w:r>
      <w:r w:rsidRPr="004B059B">
        <w:rPr>
          <w:sz w:val="28"/>
          <w:szCs w:val="28"/>
          <w:lang w:eastAsia="ar-SA"/>
        </w:rPr>
        <w:t xml:space="preserve"> </w:t>
      </w:r>
      <w:r w:rsidRPr="004B059B">
        <w:rPr>
          <w:sz w:val="28"/>
          <w:szCs w:val="28"/>
          <w:lang w:eastAsia="ar-SA"/>
        </w:rPr>
        <w:lastRenderedPageBreak/>
        <w:t xml:space="preserve">дополнительного соглашения к договору </w:t>
      </w:r>
      <w:r w:rsidR="002A768B">
        <w:rPr>
          <w:sz w:val="28"/>
          <w:szCs w:val="28"/>
          <w:lang w:eastAsia="ar-SA"/>
        </w:rPr>
        <w:t xml:space="preserve">без </w:t>
      </w:r>
      <w:r w:rsidR="002A768B" w:rsidRPr="004B059B">
        <w:rPr>
          <w:sz w:val="28"/>
          <w:szCs w:val="28"/>
          <w:lang w:eastAsia="ar-SA"/>
        </w:rPr>
        <w:t>проведени</w:t>
      </w:r>
      <w:r w:rsidR="002A768B">
        <w:rPr>
          <w:sz w:val="28"/>
          <w:szCs w:val="28"/>
          <w:lang w:eastAsia="ar-SA"/>
        </w:rPr>
        <w:t>я</w:t>
      </w:r>
      <w:r w:rsidR="002A768B" w:rsidRPr="004B059B">
        <w:rPr>
          <w:sz w:val="28"/>
          <w:szCs w:val="28"/>
          <w:lang w:eastAsia="ar-SA"/>
        </w:rPr>
        <w:t xml:space="preserve"> </w:t>
      </w:r>
      <w:r w:rsidR="002A768B">
        <w:rPr>
          <w:sz w:val="28"/>
          <w:szCs w:val="28"/>
          <w:lang w:eastAsia="ar-SA"/>
        </w:rPr>
        <w:t xml:space="preserve"> </w:t>
      </w:r>
      <w:r w:rsidRPr="004B059B">
        <w:rPr>
          <w:sz w:val="28"/>
          <w:szCs w:val="28"/>
          <w:lang w:eastAsia="ar-SA"/>
        </w:rPr>
        <w:t>конкурсных процедур.</w:t>
      </w:r>
    </w:p>
    <w:p w:rsidR="006E6729" w:rsidRPr="004B059B" w:rsidRDefault="006E6729" w:rsidP="00485CCE">
      <w:pPr>
        <w:pStyle w:val="ad"/>
        <w:numPr>
          <w:ilvl w:val="0"/>
          <w:numId w:val="8"/>
        </w:numPr>
        <w:spacing w:line="247" w:lineRule="auto"/>
        <w:ind w:left="0" w:firstLine="709"/>
        <w:jc w:val="both"/>
        <w:rPr>
          <w:szCs w:val="28"/>
        </w:rPr>
      </w:pPr>
      <w:r w:rsidRPr="004B059B">
        <w:rPr>
          <w:szCs w:val="28"/>
        </w:rPr>
        <w:t>Поручить</w:t>
      </w:r>
      <w:r w:rsidR="004B059B" w:rsidRPr="004B059B">
        <w:rPr>
          <w:szCs w:val="28"/>
        </w:rPr>
        <w:t xml:space="preserve"> заместителю директора филиала                                    ОАО «ТрансКонтейнер» на Горьковской железной дороге Кирпичникову А.А.</w:t>
      </w:r>
      <w:r w:rsidRPr="004B059B">
        <w:rPr>
          <w:bCs/>
          <w:szCs w:val="28"/>
        </w:rPr>
        <w:t>:</w:t>
      </w:r>
    </w:p>
    <w:p w:rsidR="006E6729" w:rsidRPr="004B059B" w:rsidRDefault="007E08B1" w:rsidP="006E6729">
      <w:pPr>
        <w:pStyle w:val="Default"/>
        <w:ind w:firstLine="709"/>
        <w:jc w:val="both"/>
        <w:rPr>
          <w:sz w:val="28"/>
          <w:szCs w:val="28"/>
        </w:rPr>
      </w:pPr>
      <w:r w:rsidRPr="004B059B">
        <w:rPr>
          <w:sz w:val="28"/>
          <w:szCs w:val="28"/>
        </w:rPr>
        <w:t>4</w:t>
      </w:r>
      <w:r w:rsidR="006E6729" w:rsidRPr="004B059B">
        <w:rPr>
          <w:sz w:val="28"/>
          <w:szCs w:val="28"/>
        </w:rPr>
        <w:t xml:space="preserve">.1 направить уведомление </w:t>
      </w:r>
      <w:r w:rsidR="004B059B" w:rsidRPr="004B059B">
        <w:rPr>
          <w:sz w:val="28"/>
          <w:szCs w:val="28"/>
        </w:rPr>
        <w:t>ООО «Заречное НН», ИП Андрианов П.В.,  ИП Фокин Ю.Н., ООО «ТрансМагистральАвто», ООО «Нижегородский партнер», ООО «Страж-НН» и ИП Семин Е.В.</w:t>
      </w:r>
      <w:r w:rsidR="006E6729" w:rsidRPr="004B059B">
        <w:rPr>
          <w:sz w:val="28"/>
          <w:szCs w:val="28"/>
        </w:rPr>
        <w:t xml:space="preserve"> о</w:t>
      </w:r>
      <w:r w:rsidR="004B059B" w:rsidRPr="004B059B">
        <w:rPr>
          <w:sz w:val="28"/>
          <w:szCs w:val="28"/>
        </w:rPr>
        <w:t xml:space="preserve"> принятом Конкурсной комиссией </w:t>
      </w:r>
      <w:r w:rsidR="006E6729" w:rsidRPr="004B059B">
        <w:rPr>
          <w:sz w:val="28"/>
          <w:szCs w:val="28"/>
        </w:rPr>
        <w:t>ОАО «ТрансКонтейнер» решении с приглашением заключить договор;</w:t>
      </w:r>
    </w:p>
    <w:p w:rsidR="006E6729" w:rsidRPr="004B059B" w:rsidRDefault="007E08B1" w:rsidP="006E6729">
      <w:pPr>
        <w:ind w:firstLine="708"/>
        <w:jc w:val="both"/>
        <w:rPr>
          <w:szCs w:val="28"/>
        </w:rPr>
      </w:pPr>
      <w:r w:rsidRPr="004B059B">
        <w:rPr>
          <w:szCs w:val="28"/>
        </w:rPr>
        <w:t>4</w:t>
      </w:r>
      <w:r w:rsidR="006E6729" w:rsidRPr="004B059B">
        <w:rPr>
          <w:szCs w:val="28"/>
        </w:rPr>
        <w:t xml:space="preserve">.2 обеспечить установленным порядком заключение договоров с  </w:t>
      </w:r>
      <w:r w:rsidR="006E6729" w:rsidRPr="004B059B">
        <w:rPr>
          <w:szCs w:val="28"/>
        </w:rPr>
        <w:br/>
      </w:r>
      <w:r w:rsidR="004B059B" w:rsidRPr="004B059B">
        <w:rPr>
          <w:szCs w:val="28"/>
        </w:rPr>
        <w:t xml:space="preserve">ООО «Заречное НН», ИП Андрианов П.В., ИП Фокин Ю.Н., </w:t>
      </w:r>
      <w:r w:rsidR="000C372F">
        <w:rPr>
          <w:szCs w:val="28"/>
        </w:rPr>
        <w:t xml:space="preserve">                          </w:t>
      </w:r>
      <w:r w:rsidR="004B059B" w:rsidRPr="004B059B">
        <w:rPr>
          <w:szCs w:val="28"/>
        </w:rPr>
        <w:t xml:space="preserve">ООО «ТрансМагистральАвто», ООО </w:t>
      </w:r>
      <w:r w:rsidR="004B059B" w:rsidRPr="004B059B">
        <w:rPr>
          <w:color w:val="000000"/>
          <w:szCs w:val="28"/>
        </w:rPr>
        <w:t>«Нижегородский партнер», ООО «Страж-НН» и ИП Семин Е.В</w:t>
      </w:r>
      <w:r w:rsidR="006E6729" w:rsidRPr="004B059B">
        <w:rPr>
          <w:szCs w:val="28"/>
        </w:rPr>
        <w:t>.</w:t>
      </w:r>
    </w:p>
    <w:p w:rsidR="0019190C" w:rsidRPr="00E1121D" w:rsidRDefault="0019190C" w:rsidP="00DA17F0">
      <w:pPr>
        <w:ind w:firstLine="709"/>
        <w:jc w:val="both"/>
        <w:rPr>
          <w:szCs w:val="28"/>
        </w:rPr>
      </w:pPr>
    </w:p>
    <w:p w:rsidR="00170BE8" w:rsidRPr="00E1121D" w:rsidRDefault="00170BE8" w:rsidP="00DA17F0">
      <w:pPr>
        <w:jc w:val="both"/>
        <w:rPr>
          <w:szCs w:val="28"/>
        </w:rPr>
      </w:pPr>
    </w:p>
    <w:p w:rsidR="00920288" w:rsidRPr="00C13443" w:rsidRDefault="00C13443" w:rsidP="002523F5">
      <w:pPr>
        <w:ind w:firstLine="708"/>
        <w:jc w:val="both"/>
        <w:rPr>
          <w:szCs w:val="28"/>
          <w:lang w:val="en-US"/>
        </w:rPr>
      </w:pPr>
      <w:r>
        <w:rPr>
          <w:szCs w:val="28"/>
          <w:lang w:val="en-US"/>
        </w:rPr>
        <w:t>….</w:t>
      </w:r>
    </w:p>
    <w:tbl>
      <w:tblPr>
        <w:tblStyle w:val="a8"/>
        <w:tblpPr w:leftFromText="180" w:rightFromText="180" w:vertAnchor="text" w:horzAnchor="margin" w:tblpY="122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920288" w:rsidRPr="004679A3" w:rsidTr="00920288">
        <w:trPr>
          <w:trHeight w:val="903"/>
        </w:trPr>
        <w:tc>
          <w:tcPr>
            <w:tcW w:w="5778" w:type="dxa"/>
          </w:tcPr>
          <w:p w:rsidR="00920288" w:rsidRPr="004679A3" w:rsidRDefault="00920288" w:rsidP="00920288">
            <w:pPr>
              <w:pStyle w:val="a6"/>
              <w:tabs>
                <w:tab w:val="left" w:pos="0"/>
              </w:tabs>
              <w:rPr>
                <w:i w:val="0"/>
              </w:rPr>
            </w:pPr>
            <w:r>
              <w:rPr>
                <w:i w:val="0"/>
              </w:rPr>
              <w:t>Заместитель Пр</w:t>
            </w:r>
            <w:r w:rsidRPr="004679A3">
              <w:rPr>
                <w:i w:val="0"/>
              </w:rPr>
              <w:t>едседател</w:t>
            </w:r>
            <w:r>
              <w:rPr>
                <w:i w:val="0"/>
              </w:rPr>
              <w:t>я</w:t>
            </w:r>
          </w:p>
          <w:p w:rsidR="00920288" w:rsidRPr="004679A3" w:rsidRDefault="00920288" w:rsidP="00920288">
            <w:pPr>
              <w:pStyle w:val="a6"/>
              <w:tabs>
                <w:tab w:val="left" w:pos="0"/>
              </w:tabs>
              <w:rPr>
                <w:i w:val="0"/>
              </w:rPr>
            </w:pPr>
            <w:r w:rsidRPr="004679A3">
              <w:rPr>
                <w:i w:val="0"/>
              </w:rPr>
              <w:t xml:space="preserve">Конкурсной комиссии                                                               </w:t>
            </w:r>
          </w:p>
          <w:p w:rsidR="00920288" w:rsidRPr="004679A3" w:rsidRDefault="00920288" w:rsidP="00920288">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920288" w:rsidRPr="004679A3" w:rsidRDefault="00920288" w:rsidP="00920288">
            <w:pPr>
              <w:jc w:val="right"/>
              <w:rPr>
                <w:szCs w:val="28"/>
              </w:rPr>
            </w:pPr>
          </w:p>
          <w:p w:rsidR="00920288" w:rsidRPr="004679A3" w:rsidRDefault="00920288" w:rsidP="00C13443">
            <w:pPr>
              <w:jc w:val="right"/>
              <w:rPr>
                <w:szCs w:val="28"/>
              </w:rPr>
            </w:pPr>
          </w:p>
        </w:tc>
      </w:tr>
      <w:tr w:rsidR="00920288" w:rsidRPr="004679A3" w:rsidTr="00920288">
        <w:tc>
          <w:tcPr>
            <w:tcW w:w="5778" w:type="dxa"/>
          </w:tcPr>
          <w:p w:rsidR="00920288" w:rsidRPr="004679A3" w:rsidRDefault="00920288" w:rsidP="00920288">
            <w:pPr>
              <w:jc w:val="both"/>
              <w:rPr>
                <w:szCs w:val="28"/>
              </w:rPr>
            </w:pPr>
          </w:p>
          <w:p w:rsidR="00920288" w:rsidRDefault="00920288" w:rsidP="00920288">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920288" w:rsidRDefault="00920288" w:rsidP="00920288">
            <w:pPr>
              <w:pStyle w:val="a6"/>
              <w:tabs>
                <w:tab w:val="left" w:pos="0"/>
              </w:tabs>
              <w:rPr>
                <w:i w:val="0"/>
              </w:rPr>
            </w:pPr>
          </w:p>
          <w:p w:rsidR="00920288" w:rsidRDefault="00920288" w:rsidP="00C13443">
            <w:pPr>
              <w:pStyle w:val="a6"/>
              <w:tabs>
                <w:tab w:val="left" w:pos="0"/>
              </w:tabs>
            </w:pPr>
            <w:r w:rsidRPr="005171A4">
              <w:rPr>
                <w:i w:val="0"/>
              </w:rPr>
              <w:t>«</w:t>
            </w:r>
            <w:r w:rsidR="00C13443">
              <w:rPr>
                <w:i w:val="0"/>
                <w:lang w:val="en-US"/>
              </w:rPr>
              <w:t>11</w:t>
            </w:r>
            <w:r w:rsidRPr="005171A4">
              <w:rPr>
                <w:i w:val="0"/>
              </w:rPr>
              <w:t>»</w:t>
            </w:r>
            <w:r w:rsidRPr="00CF45A9">
              <w:rPr>
                <w:i w:val="0"/>
              </w:rPr>
              <w:t xml:space="preserve"> </w:t>
            </w:r>
            <w:r w:rsidR="003B7BB5">
              <w:rPr>
                <w:i w:val="0"/>
              </w:rPr>
              <w:t xml:space="preserve">июня </w:t>
            </w:r>
            <w:r w:rsidRPr="00CF45A9">
              <w:rPr>
                <w:i w:val="0"/>
              </w:rPr>
              <w:t>201</w:t>
            </w:r>
            <w:r>
              <w:rPr>
                <w:i w:val="0"/>
              </w:rPr>
              <w:t>4</w:t>
            </w:r>
            <w:r w:rsidRPr="00CF45A9">
              <w:rPr>
                <w:i w:val="0"/>
              </w:rPr>
              <w:t xml:space="preserve"> год</w:t>
            </w:r>
          </w:p>
        </w:tc>
        <w:tc>
          <w:tcPr>
            <w:tcW w:w="4111" w:type="dxa"/>
          </w:tcPr>
          <w:p w:rsidR="00920288" w:rsidRPr="004679A3" w:rsidRDefault="00920288" w:rsidP="00920288">
            <w:pPr>
              <w:jc w:val="right"/>
              <w:rPr>
                <w:szCs w:val="28"/>
              </w:rPr>
            </w:pPr>
          </w:p>
          <w:p w:rsidR="00920288" w:rsidRPr="004679A3" w:rsidRDefault="00920288" w:rsidP="00920288">
            <w:pPr>
              <w:jc w:val="right"/>
              <w:rPr>
                <w:szCs w:val="28"/>
              </w:rPr>
            </w:pPr>
          </w:p>
        </w:tc>
      </w:tr>
    </w:tbl>
    <w:p w:rsidR="00920288" w:rsidRDefault="00920288" w:rsidP="002523F5">
      <w:pPr>
        <w:ind w:firstLine="708"/>
        <w:jc w:val="both"/>
        <w:rPr>
          <w:szCs w:val="28"/>
        </w:rPr>
      </w:pPr>
    </w:p>
    <w:p w:rsidR="00920288" w:rsidRDefault="00920288" w:rsidP="002523F5">
      <w:pPr>
        <w:ind w:firstLine="708"/>
        <w:jc w:val="both"/>
        <w:rPr>
          <w:szCs w:val="28"/>
        </w:rPr>
      </w:pPr>
    </w:p>
    <w:p w:rsidR="00920288" w:rsidRDefault="00920288" w:rsidP="002523F5">
      <w:pPr>
        <w:ind w:firstLine="708"/>
        <w:jc w:val="both"/>
        <w:rPr>
          <w:szCs w:val="28"/>
        </w:rPr>
      </w:pPr>
    </w:p>
    <w:p w:rsidR="00920288" w:rsidRDefault="00920288" w:rsidP="002523F5">
      <w:pPr>
        <w:ind w:firstLine="708"/>
        <w:jc w:val="both"/>
        <w:rPr>
          <w:szCs w:val="28"/>
        </w:rPr>
      </w:pPr>
    </w:p>
    <w:p w:rsidR="00920288" w:rsidRPr="00483EF5" w:rsidRDefault="00920288" w:rsidP="002523F5">
      <w:pPr>
        <w:ind w:firstLine="708"/>
        <w:jc w:val="both"/>
        <w:rPr>
          <w:szCs w:val="28"/>
        </w:rPr>
        <w:sectPr w:rsidR="00920288" w:rsidRPr="00483EF5" w:rsidSect="00A179B6">
          <w:headerReference w:type="default" r:id="rId9"/>
          <w:pgSz w:w="11906" w:h="16838"/>
          <w:pgMar w:top="1135" w:right="851" w:bottom="993" w:left="1418" w:header="567" w:footer="0" w:gutter="0"/>
          <w:cols w:space="708"/>
          <w:titlePg/>
          <w:docGrid w:linePitch="381"/>
        </w:sectPr>
      </w:pPr>
    </w:p>
    <w:p w:rsidR="009468F7" w:rsidRPr="00D02697" w:rsidRDefault="009468F7" w:rsidP="009468F7">
      <w:pPr>
        <w:jc w:val="right"/>
        <w:rPr>
          <w:sz w:val="22"/>
          <w:szCs w:val="22"/>
        </w:rPr>
      </w:pPr>
      <w:r w:rsidRPr="00417D1F">
        <w:rPr>
          <w:sz w:val="22"/>
          <w:szCs w:val="22"/>
        </w:rPr>
        <w:lastRenderedPageBreak/>
        <w:t>Приложение № 1</w:t>
      </w:r>
      <w:r w:rsidRPr="00D5177E">
        <w:rPr>
          <w:sz w:val="22"/>
          <w:szCs w:val="22"/>
        </w:rPr>
        <w:t xml:space="preserve"> </w:t>
      </w:r>
    </w:p>
    <w:p w:rsidR="009468F7" w:rsidRPr="00D02697" w:rsidRDefault="009468F7" w:rsidP="009468F7">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006E6729">
        <w:rPr>
          <w:bCs/>
          <w:sz w:val="22"/>
          <w:szCs w:val="22"/>
        </w:rPr>
        <w:t>2</w:t>
      </w:r>
      <w:r w:rsidR="006E6729" w:rsidRPr="00A300C0">
        <w:rPr>
          <w:bCs/>
          <w:sz w:val="22"/>
          <w:szCs w:val="22"/>
        </w:rPr>
        <w:t>2</w:t>
      </w:r>
      <w:r w:rsidRPr="00D02697">
        <w:rPr>
          <w:sz w:val="22"/>
          <w:szCs w:val="22"/>
        </w:rPr>
        <w:t>/КК</w:t>
      </w:r>
    </w:p>
    <w:p w:rsidR="009468F7" w:rsidRPr="00D02697" w:rsidRDefault="009468F7" w:rsidP="009468F7">
      <w:pPr>
        <w:jc w:val="right"/>
        <w:outlineLvl w:val="0"/>
        <w:rPr>
          <w:bCs/>
          <w:sz w:val="22"/>
          <w:szCs w:val="22"/>
        </w:rPr>
      </w:pPr>
      <w:r w:rsidRPr="00D02697">
        <w:rPr>
          <w:bCs/>
          <w:sz w:val="22"/>
          <w:szCs w:val="22"/>
        </w:rPr>
        <w:t>заседания Конкурсной комиссии</w:t>
      </w:r>
    </w:p>
    <w:p w:rsidR="009468F7" w:rsidRPr="00D02697" w:rsidRDefault="009468F7" w:rsidP="009468F7">
      <w:pPr>
        <w:jc w:val="right"/>
        <w:rPr>
          <w:sz w:val="22"/>
          <w:szCs w:val="22"/>
        </w:rPr>
      </w:pPr>
      <w:r w:rsidRPr="00D02697">
        <w:rPr>
          <w:sz w:val="22"/>
          <w:szCs w:val="22"/>
        </w:rPr>
        <w:t>открытого акционерного общества</w:t>
      </w:r>
    </w:p>
    <w:p w:rsidR="009468F7" w:rsidRPr="00D02697" w:rsidRDefault="009468F7" w:rsidP="009468F7">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9468F7" w:rsidRDefault="009468F7" w:rsidP="00096DB2">
      <w:pPr>
        <w:jc w:val="right"/>
        <w:rPr>
          <w:sz w:val="22"/>
          <w:szCs w:val="22"/>
        </w:rPr>
      </w:pPr>
      <w:r w:rsidRPr="00D02697">
        <w:rPr>
          <w:sz w:val="22"/>
          <w:szCs w:val="22"/>
        </w:rPr>
        <w:t xml:space="preserve">состоявшегося </w:t>
      </w:r>
      <w:r w:rsidR="006E6729">
        <w:rPr>
          <w:sz w:val="22"/>
          <w:szCs w:val="22"/>
        </w:rPr>
        <w:t xml:space="preserve"> 2</w:t>
      </w:r>
      <w:r w:rsidR="006E6729" w:rsidRPr="000B49C0">
        <w:rPr>
          <w:sz w:val="22"/>
          <w:szCs w:val="22"/>
        </w:rPr>
        <w:t>2</w:t>
      </w:r>
      <w:r>
        <w:rPr>
          <w:sz w:val="22"/>
          <w:szCs w:val="22"/>
        </w:rPr>
        <w:t xml:space="preserve"> мая </w:t>
      </w:r>
      <w:r w:rsidRPr="00D02697">
        <w:rPr>
          <w:sz w:val="22"/>
          <w:szCs w:val="22"/>
        </w:rPr>
        <w:t xml:space="preserve"> 201</w:t>
      </w:r>
      <w:r>
        <w:rPr>
          <w:sz w:val="22"/>
          <w:szCs w:val="22"/>
        </w:rPr>
        <w:t>4</w:t>
      </w:r>
      <w:r w:rsidRPr="00D02697">
        <w:rPr>
          <w:sz w:val="22"/>
          <w:szCs w:val="22"/>
        </w:rPr>
        <w:t xml:space="preserve"> года</w:t>
      </w:r>
    </w:p>
    <w:p w:rsidR="009468F7" w:rsidRDefault="009468F7" w:rsidP="009468F7">
      <w:pPr>
        <w:jc w:val="right"/>
        <w:rPr>
          <w:sz w:val="22"/>
          <w:szCs w:val="22"/>
        </w:rPr>
      </w:pPr>
    </w:p>
    <w:p w:rsidR="000B49C0" w:rsidRPr="000B49C0" w:rsidRDefault="000B49C0" w:rsidP="000B49C0">
      <w:pPr>
        <w:jc w:val="center"/>
        <w:rPr>
          <w:b/>
          <w:bCs/>
          <w:sz w:val="24"/>
          <w:szCs w:val="24"/>
        </w:rPr>
      </w:pPr>
      <w:r w:rsidRPr="000B49C0">
        <w:rPr>
          <w:b/>
          <w:bCs/>
          <w:sz w:val="24"/>
          <w:szCs w:val="24"/>
        </w:rPr>
        <w:t>Предельные ставки платы за аренду транспортных средств с экипажем</w:t>
      </w:r>
    </w:p>
    <w:p w:rsidR="000B49C0" w:rsidRPr="000B49C0" w:rsidRDefault="000B49C0" w:rsidP="000B49C0">
      <w:pPr>
        <w:jc w:val="center"/>
        <w:rPr>
          <w:b/>
          <w:bCs/>
          <w:color w:val="000000"/>
          <w:sz w:val="24"/>
          <w:szCs w:val="24"/>
        </w:rPr>
      </w:pPr>
    </w:p>
    <w:p w:rsidR="000B49C0" w:rsidRPr="000B49C0" w:rsidRDefault="000B49C0" w:rsidP="000B49C0">
      <w:pPr>
        <w:jc w:val="center"/>
        <w:rPr>
          <w:b/>
          <w:bCs/>
          <w:color w:val="000000"/>
          <w:sz w:val="24"/>
          <w:szCs w:val="24"/>
        </w:rPr>
      </w:pPr>
      <w:r w:rsidRPr="000B49C0">
        <w:rPr>
          <w:b/>
          <w:bCs/>
          <w:color w:val="000000"/>
          <w:sz w:val="24"/>
          <w:szCs w:val="24"/>
        </w:rPr>
        <w:t>Перевозка контейнеров в г. Нижнем Новгороде</w:t>
      </w:r>
    </w:p>
    <w:tbl>
      <w:tblPr>
        <w:tblW w:w="8742" w:type="dxa"/>
        <w:jc w:val="center"/>
        <w:tblLook w:val="04A0"/>
      </w:tblPr>
      <w:tblGrid>
        <w:gridCol w:w="3642"/>
        <w:gridCol w:w="1603"/>
        <w:gridCol w:w="1748"/>
        <w:gridCol w:w="1749"/>
      </w:tblGrid>
      <w:tr w:rsidR="000B49C0" w:rsidRPr="003B7BB5" w:rsidTr="0030649E">
        <w:trPr>
          <w:trHeight w:val="791"/>
          <w:jc w:val="center"/>
        </w:trPr>
        <w:tc>
          <w:tcPr>
            <w:tcW w:w="3642" w:type="dxa"/>
            <w:tcBorders>
              <w:top w:val="single" w:sz="4" w:space="0" w:color="auto"/>
              <w:left w:val="single" w:sz="4" w:space="0" w:color="auto"/>
              <w:bottom w:val="single" w:sz="4" w:space="0" w:color="auto"/>
              <w:right w:val="single" w:sz="4" w:space="0" w:color="auto"/>
            </w:tcBorders>
            <w:noWrap/>
            <w:vAlign w:val="bottom"/>
            <w:hideMark/>
          </w:tcPr>
          <w:p w:rsidR="000B49C0" w:rsidRPr="003B7BB5" w:rsidRDefault="000B49C0" w:rsidP="0030649E">
            <w:pPr>
              <w:jc w:val="center"/>
              <w:rPr>
                <w:sz w:val="19"/>
                <w:szCs w:val="19"/>
              </w:rPr>
            </w:pPr>
            <w:r w:rsidRPr="003B7BB5">
              <w:rPr>
                <w:sz w:val="19"/>
                <w:szCs w:val="19"/>
              </w:rPr>
              <w:t>Наименование услуги</w:t>
            </w:r>
          </w:p>
        </w:tc>
        <w:tc>
          <w:tcPr>
            <w:tcW w:w="5100" w:type="dxa"/>
            <w:gridSpan w:val="3"/>
            <w:tcBorders>
              <w:top w:val="single" w:sz="4" w:space="0" w:color="auto"/>
              <w:left w:val="nil"/>
              <w:bottom w:val="single" w:sz="4" w:space="0" w:color="000000"/>
              <w:right w:val="single" w:sz="4" w:space="0" w:color="auto"/>
            </w:tcBorders>
            <w:noWrap/>
            <w:vAlign w:val="bottom"/>
            <w:hideMark/>
          </w:tcPr>
          <w:p w:rsidR="000B49C0" w:rsidRPr="003B7BB5" w:rsidRDefault="000B49C0" w:rsidP="0030649E">
            <w:pPr>
              <w:jc w:val="center"/>
              <w:rPr>
                <w:sz w:val="19"/>
                <w:szCs w:val="19"/>
              </w:rPr>
            </w:pPr>
            <w:r w:rsidRPr="003B7BB5">
              <w:rPr>
                <w:sz w:val="19"/>
                <w:szCs w:val="19"/>
              </w:rPr>
              <w:t xml:space="preserve">Предельные ставки арендной платы </w:t>
            </w:r>
          </w:p>
          <w:p w:rsidR="000B49C0" w:rsidRPr="003B7BB5" w:rsidRDefault="000B49C0" w:rsidP="0030649E">
            <w:pPr>
              <w:jc w:val="center"/>
              <w:rPr>
                <w:sz w:val="19"/>
                <w:szCs w:val="19"/>
              </w:rPr>
            </w:pPr>
            <w:r w:rsidRPr="003B7BB5">
              <w:rPr>
                <w:sz w:val="19"/>
                <w:szCs w:val="19"/>
              </w:rPr>
              <w:t xml:space="preserve">за 1 авторейс </w:t>
            </w:r>
          </w:p>
          <w:p w:rsidR="000B49C0" w:rsidRPr="003B7BB5" w:rsidRDefault="000B49C0" w:rsidP="0030649E">
            <w:pPr>
              <w:jc w:val="center"/>
              <w:rPr>
                <w:bCs/>
                <w:sz w:val="19"/>
                <w:szCs w:val="19"/>
              </w:rPr>
            </w:pPr>
            <w:r w:rsidRPr="003B7BB5">
              <w:rPr>
                <w:sz w:val="19"/>
                <w:szCs w:val="19"/>
              </w:rPr>
              <w:t>(без учета НДС)</w:t>
            </w:r>
          </w:p>
        </w:tc>
      </w:tr>
      <w:tr w:rsidR="000B49C0" w:rsidRPr="003B7BB5" w:rsidTr="0030649E">
        <w:trPr>
          <w:trHeight w:val="521"/>
          <w:jc w:val="center"/>
        </w:trPr>
        <w:tc>
          <w:tcPr>
            <w:tcW w:w="3642" w:type="dxa"/>
            <w:vMerge w:val="restart"/>
            <w:tcBorders>
              <w:top w:val="single" w:sz="4" w:space="0" w:color="auto"/>
              <w:left w:val="single" w:sz="4" w:space="0" w:color="auto"/>
              <w:bottom w:val="single" w:sz="4" w:space="0" w:color="auto"/>
              <w:right w:val="single" w:sz="4" w:space="0" w:color="auto"/>
            </w:tcBorders>
            <w:noWrap/>
            <w:vAlign w:val="bottom"/>
            <w:hideMark/>
          </w:tcPr>
          <w:p w:rsidR="000B49C0" w:rsidRPr="003B7BB5" w:rsidRDefault="000B49C0" w:rsidP="0030649E">
            <w:pPr>
              <w:rPr>
                <w:sz w:val="19"/>
                <w:szCs w:val="19"/>
              </w:rPr>
            </w:pPr>
            <w:r w:rsidRPr="003B7BB5">
              <w:rPr>
                <w:bCs/>
                <w:sz w:val="19"/>
                <w:szCs w:val="19"/>
              </w:rPr>
              <w:t>Перевозка контейнера в городской черте согласно зональности автоперевозки</w:t>
            </w:r>
            <w:r w:rsidRPr="003B7BB5">
              <w:rPr>
                <w:b/>
                <w:bCs/>
                <w:color w:val="000000"/>
                <w:sz w:val="19"/>
                <w:szCs w:val="19"/>
              </w:rPr>
              <w:t xml:space="preserve"> </w:t>
            </w:r>
          </w:p>
        </w:tc>
        <w:tc>
          <w:tcPr>
            <w:tcW w:w="1603" w:type="dxa"/>
            <w:vMerge w:val="restart"/>
            <w:tcBorders>
              <w:top w:val="single" w:sz="4" w:space="0" w:color="auto"/>
              <w:left w:val="nil"/>
              <w:bottom w:val="single" w:sz="4" w:space="0" w:color="000000"/>
              <w:right w:val="single" w:sz="4" w:space="0" w:color="000000"/>
            </w:tcBorders>
            <w:noWrap/>
            <w:vAlign w:val="bottom"/>
            <w:hideMark/>
          </w:tcPr>
          <w:p w:rsidR="000B49C0" w:rsidRPr="003B7BB5" w:rsidRDefault="000B49C0" w:rsidP="0030649E">
            <w:pPr>
              <w:jc w:val="center"/>
              <w:rPr>
                <w:bCs/>
                <w:sz w:val="19"/>
                <w:szCs w:val="19"/>
              </w:rPr>
            </w:pPr>
            <w:r w:rsidRPr="003B7BB5">
              <w:rPr>
                <w:bCs/>
                <w:sz w:val="19"/>
                <w:szCs w:val="19"/>
              </w:rPr>
              <w:t>20 фут</w:t>
            </w:r>
          </w:p>
        </w:tc>
        <w:tc>
          <w:tcPr>
            <w:tcW w:w="1748" w:type="dxa"/>
            <w:vMerge w:val="restart"/>
            <w:tcBorders>
              <w:top w:val="single" w:sz="4" w:space="0" w:color="auto"/>
              <w:left w:val="single" w:sz="4" w:space="0" w:color="auto"/>
              <w:bottom w:val="single" w:sz="4" w:space="0" w:color="000000"/>
              <w:right w:val="single" w:sz="4" w:space="0" w:color="auto"/>
            </w:tcBorders>
            <w:vAlign w:val="bottom"/>
            <w:hideMark/>
          </w:tcPr>
          <w:p w:rsidR="000B49C0" w:rsidRPr="003B7BB5" w:rsidRDefault="000B49C0" w:rsidP="0030649E">
            <w:pPr>
              <w:jc w:val="center"/>
              <w:rPr>
                <w:bCs/>
                <w:sz w:val="19"/>
                <w:szCs w:val="19"/>
              </w:rPr>
            </w:pPr>
            <w:r w:rsidRPr="003B7BB5">
              <w:rPr>
                <w:bCs/>
                <w:sz w:val="19"/>
                <w:szCs w:val="19"/>
              </w:rPr>
              <w:t>3-х тонный</w:t>
            </w:r>
          </w:p>
        </w:tc>
        <w:tc>
          <w:tcPr>
            <w:tcW w:w="1748" w:type="dxa"/>
            <w:vMerge w:val="restart"/>
            <w:tcBorders>
              <w:top w:val="single" w:sz="4" w:space="0" w:color="auto"/>
              <w:left w:val="single" w:sz="4" w:space="0" w:color="auto"/>
              <w:bottom w:val="single" w:sz="4" w:space="0" w:color="000000"/>
              <w:right w:val="single" w:sz="4" w:space="0" w:color="auto"/>
            </w:tcBorders>
            <w:vAlign w:val="bottom"/>
            <w:hideMark/>
          </w:tcPr>
          <w:p w:rsidR="000B49C0" w:rsidRPr="003B7BB5" w:rsidRDefault="000B49C0" w:rsidP="0030649E">
            <w:pPr>
              <w:jc w:val="center"/>
              <w:rPr>
                <w:bCs/>
                <w:sz w:val="19"/>
                <w:szCs w:val="19"/>
              </w:rPr>
            </w:pPr>
            <w:r w:rsidRPr="003B7BB5">
              <w:rPr>
                <w:bCs/>
                <w:sz w:val="19"/>
                <w:szCs w:val="19"/>
              </w:rPr>
              <w:t>5-и тонный</w:t>
            </w:r>
          </w:p>
        </w:tc>
      </w:tr>
      <w:tr w:rsidR="000B49C0" w:rsidRPr="003B7BB5" w:rsidTr="0030649E">
        <w:trPr>
          <w:trHeight w:val="658"/>
          <w:jc w:val="center"/>
        </w:trPr>
        <w:tc>
          <w:tcPr>
            <w:tcW w:w="3642" w:type="dxa"/>
            <w:vMerge/>
            <w:tcBorders>
              <w:top w:val="single" w:sz="4" w:space="0" w:color="auto"/>
              <w:left w:val="single" w:sz="4" w:space="0" w:color="auto"/>
              <w:bottom w:val="single" w:sz="4" w:space="0" w:color="auto"/>
              <w:right w:val="single" w:sz="4" w:space="0" w:color="auto"/>
            </w:tcBorders>
            <w:vAlign w:val="center"/>
            <w:hideMark/>
          </w:tcPr>
          <w:p w:rsidR="000B49C0" w:rsidRPr="003B7BB5" w:rsidRDefault="000B49C0" w:rsidP="0030649E">
            <w:pPr>
              <w:rPr>
                <w:sz w:val="19"/>
                <w:szCs w:val="19"/>
              </w:rPr>
            </w:pPr>
          </w:p>
        </w:tc>
        <w:tc>
          <w:tcPr>
            <w:tcW w:w="1603" w:type="dxa"/>
            <w:vMerge/>
            <w:tcBorders>
              <w:top w:val="single" w:sz="4" w:space="0" w:color="auto"/>
              <w:left w:val="nil"/>
              <w:bottom w:val="single" w:sz="4" w:space="0" w:color="000000"/>
              <w:right w:val="single" w:sz="4" w:space="0" w:color="000000"/>
            </w:tcBorders>
            <w:vAlign w:val="center"/>
            <w:hideMark/>
          </w:tcPr>
          <w:p w:rsidR="000B49C0" w:rsidRPr="003B7BB5" w:rsidRDefault="000B49C0" w:rsidP="0030649E">
            <w:pPr>
              <w:rPr>
                <w:bCs/>
                <w:sz w:val="19"/>
                <w:szCs w:val="19"/>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0B49C0" w:rsidRPr="003B7BB5" w:rsidRDefault="000B49C0" w:rsidP="0030649E">
            <w:pPr>
              <w:rPr>
                <w:bCs/>
                <w:sz w:val="19"/>
                <w:szCs w:val="19"/>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0B49C0" w:rsidRPr="003B7BB5" w:rsidRDefault="000B49C0" w:rsidP="0030649E">
            <w:pPr>
              <w:rPr>
                <w:bCs/>
                <w:sz w:val="19"/>
                <w:szCs w:val="19"/>
              </w:rPr>
            </w:pPr>
          </w:p>
        </w:tc>
      </w:tr>
      <w:tr w:rsidR="000B49C0" w:rsidRPr="003B7BB5" w:rsidTr="0030649E">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1     (от 1 до 10 км)</w:t>
            </w:r>
          </w:p>
        </w:tc>
        <w:tc>
          <w:tcPr>
            <w:tcW w:w="1603" w:type="dxa"/>
            <w:tcBorders>
              <w:top w:val="single" w:sz="4" w:space="0" w:color="000000"/>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2330</w:t>
            </w:r>
          </w:p>
        </w:tc>
        <w:tc>
          <w:tcPr>
            <w:tcW w:w="1748" w:type="dxa"/>
            <w:tcBorders>
              <w:top w:val="single" w:sz="4" w:space="0" w:color="000000"/>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1127</w:t>
            </w:r>
          </w:p>
        </w:tc>
        <w:tc>
          <w:tcPr>
            <w:tcW w:w="1748" w:type="dxa"/>
            <w:tcBorders>
              <w:top w:val="single" w:sz="4" w:space="0" w:color="000000"/>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1342</w:t>
            </w:r>
          </w:p>
        </w:tc>
      </w:tr>
      <w:tr w:rsidR="000B49C0" w:rsidRPr="003B7BB5" w:rsidTr="0030649E">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2   (от 10 до 14 км)</w:t>
            </w:r>
          </w:p>
        </w:tc>
        <w:tc>
          <w:tcPr>
            <w:tcW w:w="1603"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2746</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1423</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1638</w:t>
            </w:r>
          </w:p>
        </w:tc>
      </w:tr>
      <w:tr w:rsidR="000B49C0" w:rsidRPr="003B7BB5" w:rsidTr="0030649E">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3 (от 15 до 20 км)</w:t>
            </w:r>
          </w:p>
        </w:tc>
        <w:tc>
          <w:tcPr>
            <w:tcW w:w="1603"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3370</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1867</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2082</w:t>
            </w:r>
          </w:p>
        </w:tc>
      </w:tr>
      <w:tr w:rsidR="000B49C0" w:rsidRPr="003B7BB5" w:rsidTr="0030649E">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4 (от 21 до 25 км)</w:t>
            </w:r>
          </w:p>
        </w:tc>
        <w:tc>
          <w:tcPr>
            <w:tcW w:w="1603"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3890</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2237</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2452</w:t>
            </w:r>
          </w:p>
        </w:tc>
      </w:tr>
      <w:tr w:rsidR="000B49C0" w:rsidRPr="003B7BB5" w:rsidTr="0030649E">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5 (от 26 до 30 км)</w:t>
            </w:r>
          </w:p>
        </w:tc>
        <w:tc>
          <w:tcPr>
            <w:tcW w:w="1603"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4410</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2607</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2822</w:t>
            </w:r>
          </w:p>
        </w:tc>
      </w:tr>
      <w:tr w:rsidR="000B49C0" w:rsidRPr="003B7BB5" w:rsidTr="0030649E">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6 (от 31 до 33 км)</w:t>
            </w:r>
          </w:p>
        </w:tc>
        <w:tc>
          <w:tcPr>
            <w:tcW w:w="1603"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4722</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2829</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3044</w:t>
            </w:r>
          </w:p>
        </w:tc>
      </w:tr>
      <w:tr w:rsidR="000B49C0" w:rsidRPr="003B7BB5" w:rsidTr="0030649E">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7 (от 34 до 38 км)</w:t>
            </w:r>
          </w:p>
        </w:tc>
        <w:tc>
          <w:tcPr>
            <w:tcW w:w="1603"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5242</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3199</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3414</w:t>
            </w:r>
          </w:p>
        </w:tc>
      </w:tr>
      <w:tr w:rsidR="000B49C0" w:rsidRPr="003B7BB5" w:rsidTr="0030649E">
        <w:trPr>
          <w:trHeight w:val="318"/>
          <w:jc w:val="center"/>
        </w:trPr>
        <w:tc>
          <w:tcPr>
            <w:tcW w:w="3642" w:type="dxa"/>
            <w:tcBorders>
              <w:top w:val="nil"/>
              <w:left w:val="single" w:sz="4" w:space="0" w:color="000000"/>
              <w:bottom w:val="single" w:sz="4" w:space="0" w:color="auto"/>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8 (от 39 до 46 км)</w:t>
            </w:r>
          </w:p>
        </w:tc>
        <w:tc>
          <w:tcPr>
            <w:tcW w:w="1603" w:type="dxa"/>
            <w:tcBorders>
              <w:top w:val="nil"/>
              <w:left w:val="nil"/>
              <w:bottom w:val="single" w:sz="4" w:space="0" w:color="auto"/>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6074</w:t>
            </w:r>
          </w:p>
        </w:tc>
        <w:tc>
          <w:tcPr>
            <w:tcW w:w="1748" w:type="dxa"/>
            <w:tcBorders>
              <w:top w:val="nil"/>
              <w:left w:val="single" w:sz="4" w:space="0" w:color="auto"/>
              <w:bottom w:val="single" w:sz="4" w:space="0" w:color="auto"/>
              <w:right w:val="single" w:sz="4" w:space="0" w:color="auto"/>
            </w:tcBorders>
            <w:vAlign w:val="bottom"/>
            <w:hideMark/>
          </w:tcPr>
          <w:p w:rsidR="000B49C0" w:rsidRPr="003B7BB5" w:rsidRDefault="000B49C0" w:rsidP="0030649E">
            <w:pPr>
              <w:jc w:val="center"/>
              <w:rPr>
                <w:sz w:val="19"/>
                <w:szCs w:val="19"/>
              </w:rPr>
            </w:pPr>
            <w:r w:rsidRPr="003B7BB5">
              <w:rPr>
                <w:sz w:val="19"/>
                <w:szCs w:val="19"/>
              </w:rPr>
              <w:t>3791</w:t>
            </w:r>
          </w:p>
        </w:tc>
        <w:tc>
          <w:tcPr>
            <w:tcW w:w="1748" w:type="dxa"/>
            <w:tcBorders>
              <w:top w:val="nil"/>
              <w:left w:val="single" w:sz="4" w:space="0" w:color="auto"/>
              <w:bottom w:val="single" w:sz="4" w:space="0" w:color="auto"/>
              <w:right w:val="single" w:sz="4" w:space="0" w:color="auto"/>
            </w:tcBorders>
            <w:vAlign w:val="bottom"/>
            <w:hideMark/>
          </w:tcPr>
          <w:p w:rsidR="000B49C0" w:rsidRPr="003B7BB5" w:rsidRDefault="000B49C0" w:rsidP="0030649E">
            <w:pPr>
              <w:jc w:val="center"/>
              <w:rPr>
                <w:sz w:val="19"/>
                <w:szCs w:val="19"/>
              </w:rPr>
            </w:pPr>
            <w:r w:rsidRPr="003B7BB5">
              <w:rPr>
                <w:sz w:val="19"/>
                <w:szCs w:val="19"/>
              </w:rPr>
              <w:t>4006</w:t>
            </w:r>
          </w:p>
        </w:tc>
      </w:tr>
      <w:tr w:rsidR="000B49C0" w:rsidRPr="003B7BB5" w:rsidTr="0030649E">
        <w:trPr>
          <w:trHeight w:val="192"/>
          <w:jc w:val="center"/>
        </w:trPr>
        <w:tc>
          <w:tcPr>
            <w:tcW w:w="3642" w:type="dxa"/>
            <w:tcBorders>
              <w:top w:val="single" w:sz="4" w:space="0" w:color="auto"/>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9 (от 47 до 49 км)</w:t>
            </w:r>
          </w:p>
        </w:tc>
        <w:tc>
          <w:tcPr>
            <w:tcW w:w="1603" w:type="dxa"/>
            <w:tcBorders>
              <w:top w:val="single" w:sz="4" w:space="0" w:color="auto"/>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6386</w:t>
            </w:r>
          </w:p>
        </w:tc>
        <w:tc>
          <w:tcPr>
            <w:tcW w:w="1748" w:type="dxa"/>
            <w:tcBorders>
              <w:top w:val="single" w:sz="4" w:space="0" w:color="auto"/>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4013</w:t>
            </w:r>
          </w:p>
        </w:tc>
        <w:tc>
          <w:tcPr>
            <w:tcW w:w="1748" w:type="dxa"/>
            <w:tcBorders>
              <w:top w:val="single" w:sz="4" w:space="0" w:color="auto"/>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4228</w:t>
            </w:r>
          </w:p>
        </w:tc>
      </w:tr>
      <w:tr w:rsidR="000B49C0" w:rsidRPr="003B7BB5" w:rsidTr="0030649E">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Норма простоя под загрузкой/разгрузкой, час</w:t>
            </w:r>
          </w:p>
        </w:tc>
        <w:tc>
          <w:tcPr>
            <w:tcW w:w="1603"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2,5</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1,0</w:t>
            </w:r>
          </w:p>
        </w:tc>
        <w:tc>
          <w:tcPr>
            <w:tcW w:w="1748"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1,5</w:t>
            </w:r>
          </w:p>
        </w:tc>
      </w:tr>
      <w:tr w:rsidR="000B49C0" w:rsidRPr="003B7BB5" w:rsidTr="003B7BB5">
        <w:trPr>
          <w:trHeight w:val="353"/>
          <w:jc w:val="center"/>
        </w:trPr>
        <w:tc>
          <w:tcPr>
            <w:tcW w:w="3642" w:type="dxa"/>
            <w:tcBorders>
              <w:top w:val="nil"/>
              <w:left w:val="single" w:sz="4" w:space="0" w:color="000000"/>
              <w:bottom w:val="single" w:sz="4" w:space="0" w:color="auto"/>
              <w:right w:val="single" w:sz="4" w:space="0" w:color="000000"/>
            </w:tcBorders>
            <w:noWrap/>
            <w:vAlign w:val="bottom"/>
            <w:hideMark/>
          </w:tcPr>
          <w:p w:rsidR="000B49C0" w:rsidRPr="003B7BB5" w:rsidRDefault="000B49C0" w:rsidP="0030649E">
            <w:pPr>
              <w:rPr>
                <w:sz w:val="19"/>
                <w:szCs w:val="19"/>
              </w:rPr>
            </w:pPr>
            <w:r w:rsidRPr="003B7BB5">
              <w:rPr>
                <w:sz w:val="19"/>
                <w:szCs w:val="19"/>
              </w:rPr>
              <w:t>Ставки сверхнормативного простоя под загрузкой/разгрузкой, руб/час</w:t>
            </w:r>
          </w:p>
        </w:tc>
        <w:tc>
          <w:tcPr>
            <w:tcW w:w="1603" w:type="dxa"/>
            <w:tcBorders>
              <w:top w:val="nil"/>
              <w:left w:val="nil"/>
              <w:bottom w:val="single" w:sz="4" w:space="0" w:color="auto"/>
              <w:right w:val="single" w:sz="4" w:space="0" w:color="000000"/>
            </w:tcBorders>
            <w:noWrap/>
            <w:vAlign w:val="bottom"/>
            <w:hideMark/>
          </w:tcPr>
          <w:p w:rsidR="000B49C0" w:rsidRPr="003B7BB5" w:rsidRDefault="000B49C0" w:rsidP="0030649E">
            <w:pPr>
              <w:jc w:val="center"/>
              <w:rPr>
                <w:bCs/>
                <w:sz w:val="19"/>
                <w:szCs w:val="19"/>
              </w:rPr>
            </w:pPr>
            <w:r w:rsidRPr="003B7BB5">
              <w:rPr>
                <w:bCs/>
                <w:sz w:val="19"/>
                <w:szCs w:val="19"/>
              </w:rPr>
              <w:t xml:space="preserve">720 </w:t>
            </w:r>
          </w:p>
        </w:tc>
        <w:tc>
          <w:tcPr>
            <w:tcW w:w="1748" w:type="dxa"/>
            <w:tcBorders>
              <w:top w:val="nil"/>
              <w:left w:val="single" w:sz="4" w:space="0" w:color="auto"/>
              <w:bottom w:val="single" w:sz="4" w:space="0" w:color="auto"/>
              <w:right w:val="single" w:sz="4" w:space="0" w:color="auto"/>
            </w:tcBorders>
            <w:vAlign w:val="bottom"/>
            <w:hideMark/>
          </w:tcPr>
          <w:p w:rsidR="000B49C0" w:rsidRPr="003B7BB5" w:rsidRDefault="000B49C0" w:rsidP="0030649E">
            <w:pPr>
              <w:jc w:val="center"/>
              <w:rPr>
                <w:sz w:val="19"/>
                <w:szCs w:val="19"/>
              </w:rPr>
            </w:pPr>
            <w:r w:rsidRPr="003B7BB5">
              <w:rPr>
                <w:bCs/>
                <w:sz w:val="19"/>
                <w:szCs w:val="19"/>
              </w:rPr>
              <w:t xml:space="preserve">516 </w:t>
            </w:r>
          </w:p>
        </w:tc>
        <w:tc>
          <w:tcPr>
            <w:tcW w:w="1748" w:type="dxa"/>
            <w:tcBorders>
              <w:top w:val="nil"/>
              <w:left w:val="single" w:sz="4" w:space="0" w:color="auto"/>
              <w:bottom w:val="single" w:sz="4" w:space="0" w:color="auto"/>
              <w:right w:val="single" w:sz="4" w:space="0" w:color="auto"/>
            </w:tcBorders>
            <w:vAlign w:val="bottom"/>
            <w:hideMark/>
          </w:tcPr>
          <w:p w:rsidR="000B49C0" w:rsidRPr="003B7BB5" w:rsidRDefault="000B49C0" w:rsidP="0030649E">
            <w:pPr>
              <w:jc w:val="center"/>
              <w:rPr>
                <w:sz w:val="19"/>
                <w:szCs w:val="19"/>
              </w:rPr>
            </w:pPr>
            <w:r w:rsidRPr="003B7BB5">
              <w:rPr>
                <w:bCs/>
                <w:sz w:val="19"/>
                <w:szCs w:val="19"/>
              </w:rPr>
              <w:t xml:space="preserve">516 </w:t>
            </w:r>
          </w:p>
        </w:tc>
      </w:tr>
    </w:tbl>
    <w:p w:rsidR="000B49C0" w:rsidRPr="000B49C0" w:rsidRDefault="000B49C0" w:rsidP="000B49C0">
      <w:pPr>
        <w:jc w:val="center"/>
        <w:rPr>
          <w:b/>
          <w:bCs/>
          <w:color w:val="000000"/>
          <w:sz w:val="24"/>
          <w:szCs w:val="24"/>
        </w:rPr>
      </w:pPr>
      <w:r w:rsidRPr="000B49C0">
        <w:rPr>
          <w:b/>
          <w:bCs/>
          <w:color w:val="000000"/>
          <w:sz w:val="24"/>
          <w:szCs w:val="24"/>
        </w:rPr>
        <w:t>Перевозка контейнеров в прилегающих районах</w:t>
      </w:r>
    </w:p>
    <w:tbl>
      <w:tblPr>
        <w:tblW w:w="8785" w:type="dxa"/>
        <w:jc w:val="center"/>
        <w:tblInd w:w="-34" w:type="dxa"/>
        <w:tblLayout w:type="fixed"/>
        <w:tblLook w:val="04A0"/>
      </w:tblPr>
      <w:tblGrid>
        <w:gridCol w:w="3311"/>
        <w:gridCol w:w="1871"/>
        <w:gridCol w:w="1727"/>
        <w:gridCol w:w="1876"/>
      </w:tblGrid>
      <w:tr w:rsidR="000B49C0" w:rsidRPr="003B7BB5" w:rsidTr="0030649E">
        <w:trPr>
          <w:trHeight w:val="85"/>
          <w:jc w:val="center"/>
        </w:trPr>
        <w:tc>
          <w:tcPr>
            <w:tcW w:w="3311" w:type="dxa"/>
            <w:tcBorders>
              <w:top w:val="single" w:sz="4" w:space="0" w:color="auto"/>
              <w:left w:val="single" w:sz="4" w:space="0" w:color="auto"/>
              <w:bottom w:val="single" w:sz="4" w:space="0" w:color="auto"/>
              <w:right w:val="single" w:sz="4" w:space="0" w:color="auto"/>
            </w:tcBorders>
            <w:noWrap/>
            <w:vAlign w:val="bottom"/>
            <w:hideMark/>
          </w:tcPr>
          <w:p w:rsidR="000B49C0" w:rsidRPr="003B7BB5" w:rsidRDefault="000B49C0" w:rsidP="0030649E">
            <w:pPr>
              <w:jc w:val="center"/>
              <w:rPr>
                <w:sz w:val="19"/>
                <w:szCs w:val="19"/>
              </w:rPr>
            </w:pPr>
            <w:r w:rsidRPr="003B7BB5">
              <w:rPr>
                <w:sz w:val="19"/>
                <w:szCs w:val="19"/>
              </w:rPr>
              <w:t>Наименование услуги</w:t>
            </w:r>
          </w:p>
        </w:tc>
        <w:tc>
          <w:tcPr>
            <w:tcW w:w="5474" w:type="dxa"/>
            <w:gridSpan w:val="3"/>
            <w:tcBorders>
              <w:top w:val="single" w:sz="4" w:space="0" w:color="auto"/>
              <w:left w:val="nil"/>
              <w:bottom w:val="single" w:sz="4" w:space="0" w:color="000000"/>
              <w:right w:val="single" w:sz="4" w:space="0" w:color="auto"/>
            </w:tcBorders>
            <w:noWrap/>
            <w:vAlign w:val="bottom"/>
            <w:hideMark/>
          </w:tcPr>
          <w:p w:rsidR="000B49C0" w:rsidRPr="003B7BB5" w:rsidRDefault="000B49C0" w:rsidP="0030649E">
            <w:pPr>
              <w:jc w:val="center"/>
              <w:rPr>
                <w:sz w:val="19"/>
                <w:szCs w:val="19"/>
              </w:rPr>
            </w:pPr>
            <w:r w:rsidRPr="003B7BB5">
              <w:rPr>
                <w:sz w:val="19"/>
                <w:szCs w:val="19"/>
              </w:rPr>
              <w:t xml:space="preserve">Предельные ставки арендной платы за 1 авторейс </w:t>
            </w:r>
          </w:p>
          <w:p w:rsidR="000B49C0" w:rsidRPr="003B7BB5" w:rsidRDefault="000B49C0" w:rsidP="0030649E">
            <w:pPr>
              <w:jc w:val="center"/>
              <w:rPr>
                <w:bCs/>
                <w:sz w:val="19"/>
                <w:szCs w:val="19"/>
              </w:rPr>
            </w:pPr>
            <w:r w:rsidRPr="003B7BB5">
              <w:rPr>
                <w:sz w:val="19"/>
                <w:szCs w:val="19"/>
              </w:rPr>
              <w:t>(без учета НДС)</w:t>
            </w:r>
          </w:p>
        </w:tc>
      </w:tr>
      <w:tr w:rsidR="000B49C0" w:rsidRPr="003B7BB5" w:rsidTr="0030649E">
        <w:trPr>
          <w:trHeight w:val="368"/>
          <w:jc w:val="center"/>
        </w:trPr>
        <w:tc>
          <w:tcPr>
            <w:tcW w:w="3311" w:type="dxa"/>
            <w:tcBorders>
              <w:top w:val="single" w:sz="4" w:space="0" w:color="auto"/>
              <w:left w:val="single" w:sz="4" w:space="0" w:color="auto"/>
              <w:bottom w:val="single" w:sz="4" w:space="0" w:color="auto"/>
              <w:right w:val="single" w:sz="4" w:space="0" w:color="auto"/>
            </w:tcBorders>
            <w:noWrap/>
            <w:vAlign w:val="bottom"/>
            <w:hideMark/>
          </w:tcPr>
          <w:p w:rsidR="000B49C0" w:rsidRPr="003B7BB5" w:rsidRDefault="000B49C0" w:rsidP="0030649E">
            <w:pPr>
              <w:jc w:val="center"/>
              <w:rPr>
                <w:sz w:val="19"/>
                <w:szCs w:val="19"/>
              </w:rPr>
            </w:pPr>
            <w:r w:rsidRPr="003B7BB5">
              <w:rPr>
                <w:bCs/>
                <w:sz w:val="19"/>
                <w:szCs w:val="19"/>
              </w:rPr>
              <w:t xml:space="preserve">Перевозка контейнера в междугородном сообщении согласно зональности автоперевозки </w:t>
            </w:r>
          </w:p>
        </w:tc>
        <w:tc>
          <w:tcPr>
            <w:tcW w:w="1871" w:type="dxa"/>
            <w:tcBorders>
              <w:top w:val="single" w:sz="4" w:space="0" w:color="auto"/>
              <w:left w:val="nil"/>
              <w:bottom w:val="nil"/>
              <w:right w:val="single" w:sz="4" w:space="0" w:color="000000"/>
            </w:tcBorders>
            <w:noWrap/>
            <w:vAlign w:val="bottom"/>
            <w:hideMark/>
          </w:tcPr>
          <w:p w:rsidR="000B49C0" w:rsidRPr="003B7BB5" w:rsidRDefault="000B49C0" w:rsidP="0030649E">
            <w:pPr>
              <w:jc w:val="center"/>
              <w:rPr>
                <w:bCs/>
                <w:sz w:val="19"/>
                <w:szCs w:val="19"/>
              </w:rPr>
            </w:pPr>
            <w:r w:rsidRPr="003B7BB5">
              <w:rPr>
                <w:bCs/>
                <w:sz w:val="19"/>
                <w:szCs w:val="19"/>
              </w:rPr>
              <w:t>20 фут</w:t>
            </w:r>
          </w:p>
        </w:tc>
        <w:tc>
          <w:tcPr>
            <w:tcW w:w="1727" w:type="dxa"/>
            <w:tcBorders>
              <w:top w:val="single" w:sz="4" w:space="0" w:color="auto"/>
              <w:left w:val="single" w:sz="4" w:space="0" w:color="auto"/>
              <w:bottom w:val="nil"/>
              <w:right w:val="single" w:sz="4" w:space="0" w:color="auto"/>
            </w:tcBorders>
            <w:vAlign w:val="bottom"/>
            <w:hideMark/>
          </w:tcPr>
          <w:p w:rsidR="000B49C0" w:rsidRPr="003B7BB5" w:rsidRDefault="000B49C0" w:rsidP="0030649E">
            <w:pPr>
              <w:jc w:val="center"/>
              <w:rPr>
                <w:bCs/>
                <w:sz w:val="19"/>
                <w:szCs w:val="19"/>
              </w:rPr>
            </w:pPr>
            <w:r w:rsidRPr="003B7BB5">
              <w:rPr>
                <w:bCs/>
                <w:sz w:val="19"/>
                <w:szCs w:val="19"/>
              </w:rPr>
              <w:t>3-х тонный</w:t>
            </w:r>
          </w:p>
        </w:tc>
        <w:tc>
          <w:tcPr>
            <w:tcW w:w="1876" w:type="dxa"/>
            <w:tcBorders>
              <w:top w:val="single" w:sz="4" w:space="0" w:color="auto"/>
              <w:left w:val="single" w:sz="4" w:space="0" w:color="auto"/>
              <w:bottom w:val="nil"/>
              <w:right w:val="single" w:sz="4" w:space="0" w:color="auto"/>
            </w:tcBorders>
            <w:vAlign w:val="bottom"/>
            <w:hideMark/>
          </w:tcPr>
          <w:p w:rsidR="000B49C0" w:rsidRPr="003B7BB5" w:rsidRDefault="000B49C0" w:rsidP="0030649E">
            <w:pPr>
              <w:jc w:val="center"/>
              <w:rPr>
                <w:bCs/>
                <w:sz w:val="19"/>
                <w:szCs w:val="19"/>
              </w:rPr>
            </w:pPr>
            <w:r w:rsidRPr="003B7BB5">
              <w:rPr>
                <w:bCs/>
                <w:sz w:val="19"/>
                <w:szCs w:val="19"/>
              </w:rPr>
              <w:t>5-и тонный</w:t>
            </w:r>
          </w:p>
        </w:tc>
      </w:tr>
      <w:tr w:rsidR="000B49C0" w:rsidRPr="003B7BB5" w:rsidTr="0030649E">
        <w:trPr>
          <w:trHeight w:val="95"/>
          <w:jc w:val="center"/>
        </w:trPr>
        <w:tc>
          <w:tcPr>
            <w:tcW w:w="3311" w:type="dxa"/>
            <w:tcBorders>
              <w:top w:val="single" w:sz="4" w:space="0" w:color="auto"/>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10      (от 50 до 65 км)</w:t>
            </w:r>
          </w:p>
        </w:tc>
        <w:tc>
          <w:tcPr>
            <w:tcW w:w="1871" w:type="dxa"/>
            <w:tcBorders>
              <w:top w:val="single" w:sz="4" w:space="0" w:color="000000"/>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6100</w:t>
            </w:r>
          </w:p>
        </w:tc>
        <w:tc>
          <w:tcPr>
            <w:tcW w:w="1727" w:type="dxa"/>
            <w:tcBorders>
              <w:top w:val="single" w:sz="4" w:space="0" w:color="000000"/>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3767</w:t>
            </w:r>
          </w:p>
        </w:tc>
        <w:tc>
          <w:tcPr>
            <w:tcW w:w="1876" w:type="dxa"/>
            <w:tcBorders>
              <w:top w:val="single" w:sz="4" w:space="0" w:color="000000"/>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3982</w:t>
            </w:r>
          </w:p>
        </w:tc>
      </w:tr>
      <w:tr w:rsidR="000B49C0" w:rsidRPr="003B7BB5" w:rsidTr="0030649E">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11      (от 66 до 70 км)</w:t>
            </w:r>
          </w:p>
        </w:tc>
        <w:tc>
          <w:tcPr>
            <w:tcW w:w="1871"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6470</w:t>
            </w:r>
          </w:p>
        </w:tc>
        <w:tc>
          <w:tcPr>
            <w:tcW w:w="1727"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4027</w:t>
            </w:r>
          </w:p>
        </w:tc>
        <w:tc>
          <w:tcPr>
            <w:tcW w:w="1876"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4242</w:t>
            </w:r>
          </w:p>
        </w:tc>
      </w:tr>
      <w:tr w:rsidR="000B49C0" w:rsidRPr="003B7BB5" w:rsidTr="0030649E">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12      (от 71 до 80 км)</w:t>
            </w:r>
          </w:p>
        </w:tc>
        <w:tc>
          <w:tcPr>
            <w:tcW w:w="1871"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7210</w:t>
            </w:r>
          </w:p>
        </w:tc>
        <w:tc>
          <w:tcPr>
            <w:tcW w:w="1727"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4547</w:t>
            </w:r>
          </w:p>
        </w:tc>
        <w:tc>
          <w:tcPr>
            <w:tcW w:w="1876"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4762</w:t>
            </w:r>
          </w:p>
        </w:tc>
      </w:tr>
      <w:tr w:rsidR="000B49C0" w:rsidRPr="003B7BB5" w:rsidTr="0030649E">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13     (от 81 до 100 км)</w:t>
            </w:r>
          </w:p>
        </w:tc>
        <w:tc>
          <w:tcPr>
            <w:tcW w:w="1871"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8690</w:t>
            </w:r>
          </w:p>
        </w:tc>
        <w:tc>
          <w:tcPr>
            <w:tcW w:w="1727"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5587</w:t>
            </w:r>
          </w:p>
        </w:tc>
        <w:tc>
          <w:tcPr>
            <w:tcW w:w="1876"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5802</w:t>
            </w:r>
          </w:p>
        </w:tc>
      </w:tr>
      <w:tr w:rsidR="000B49C0" w:rsidRPr="003B7BB5" w:rsidTr="0030649E">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14   (от 101 до 110 км)</w:t>
            </w:r>
          </w:p>
        </w:tc>
        <w:tc>
          <w:tcPr>
            <w:tcW w:w="1871"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9430</w:t>
            </w:r>
          </w:p>
        </w:tc>
        <w:tc>
          <w:tcPr>
            <w:tcW w:w="1727"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6107</w:t>
            </w:r>
          </w:p>
        </w:tc>
        <w:tc>
          <w:tcPr>
            <w:tcW w:w="1876"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6322</w:t>
            </w:r>
          </w:p>
        </w:tc>
      </w:tr>
      <w:tr w:rsidR="000B49C0" w:rsidRPr="003B7BB5" w:rsidTr="0030649E">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 xml:space="preserve">Зона № 15   (от 111 до 130 км) </w:t>
            </w:r>
          </w:p>
        </w:tc>
        <w:tc>
          <w:tcPr>
            <w:tcW w:w="1871"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10910</w:t>
            </w:r>
          </w:p>
        </w:tc>
        <w:tc>
          <w:tcPr>
            <w:tcW w:w="1727"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7147</w:t>
            </w:r>
          </w:p>
        </w:tc>
        <w:tc>
          <w:tcPr>
            <w:tcW w:w="1876"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7362</w:t>
            </w:r>
          </w:p>
        </w:tc>
      </w:tr>
      <w:tr w:rsidR="000B49C0" w:rsidRPr="003B7BB5" w:rsidTr="0030649E">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16   (от 131 до 170 км)</w:t>
            </w:r>
          </w:p>
        </w:tc>
        <w:tc>
          <w:tcPr>
            <w:tcW w:w="1871"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13879</w:t>
            </w:r>
          </w:p>
        </w:tc>
        <w:tc>
          <w:tcPr>
            <w:tcW w:w="1727"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9227</w:t>
            </w:r>
          </w:p>
        </w:tc>
        <w:tc>
          <w:tcPr>
            <w:tcW w:w="1876"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9442</w:t>
            </w:r>
          </w:p>
        </w:tc>
      </w:tr>
      <w:tr w:rsidR="000B49C0" w:rsidRPr="003B7BB5" w:rsidTr="0030649E">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Зона № 17   (от 171 до 200 км)</w:t>
            </w:r>
          </w:p>
        </w:tc>
        <w:tc>
          <w:tcPr>
            <w:tcW w:w="1871"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13500</w:t>
            </w:r>
          </w:p>
        </w:tc>
        <w:tc>
          <w:tcPr>
            <w:tcW w:w="1727"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8967</w:t>
            </w:r>
          </w:p>
        </w:tc>
        <w:tc>
          <w:tcPr>
            <w:tcW w:w="1876"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9182</w:t>
            </w:r>
          </w:p>
        </w:tc>
      </w:tr>
      <w:tr w:rsidR="000B49C0" w:rsidRPr="003B7BB5" w:rsidTr="0030649E">
        <w:trPr>
          <w:trHeight w:val="95"/>
          <w:jc w:val="center"/>
        </w:trPr>
        <w:tc>
          <w:tcPr>
            <w:tcW w:w="3311" w:type="dxa"/>
            <w:tcBorders>
              <w:top w:val="nil"/>
              <w:left w:val="single" w:sz="4" w:space="0" w:color="000000"/>
              <w:bottom w:val="single" w:sz="4" w:space="0" w:color="000000"/>
              <w:right w:val="single" w:sz="4" w:space="0" w:color="000000"/>
            </w:tcBorders>
            <w:noWrap/>
            <w:hideMark/>
          </w:tcPr>
          <w:p w:rsidR="000B49C0" w:rsidRPr="003B7BB5" w:rsidRDefault="000B49C0" w:rsidP="0030649E">
            <w:pPr>
              <w:rPr>
                <w:sz w:val="19"/>
                <w:szCs w:val="19"/>
              </w:rPr>
            </w:pPr>
            <w:r w:rsidRPr="003B7BB5">
              <w:rPr>
                <w:sz w:val="19"/>
                <w:szCs w:val="19"/>
              </w:rPr>
              <w:t xml:space="preserve">Зона № 18  (от 201 до 260 км)  </w:t>
            </w:r>
          </w:p>
        </w:tc>
        <w:tc>
          <w:tcPr>
            <w:tcW w:w="1871"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bCs/>
                <w:sz w:val="19"/>
                <w:szCs w:val="19"/>
              </w:rPr>
            </w:pPr>
            <w:r w:rsidRPr="003B7BB5">
              <w:rPr>
                <w:bCs/>
                <w:sz w:val="19"/>
                <w:szCs w:val="19"/>
              </w:rPr>
              <w:t>15720</w:t>
            </w:r>
          </w:p>
        </w:tc>
        <w:tc>
          <w:tcPr>
            <w:tcW w:w="1727"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10527</w:t>
            </w:r>
          </w:p>
        </w:tc>
        <w:tc>
          <w:tcPr>
            <w:tcW w:w="1876"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10742</w:t>
            </w:r>
          </w:p>
        </w:tc>
      </w:tr>
      <w:tr w:rsidR="000B49C0" w:rsidRPr="003B7BB5" w:rsidTr="0030649E">
        <w:trPr>
          <w:trHeight w:val="95"/>
          <w:jc w:val="center"/>
        </w:trPr>
        <w:tc>
          <w:tcPr>
            <w:tcW w:w="3311" w:type="dxa"/>
            <w:tcBorders>
              <w:top w:val="nil"/>
              <w:left w:val="single" w:sz="4" w:space="0" w:color="000000"/>
              <w:bottom w:val="single" w:sz="4" w:space="0" w:color="000000"/>
              <w:right w:val="single" w:sz="4" w:space="0" w:color="000000"/>
            </w:tcBorders>
            <w:noWrap/>
            <w:hideMark/>
          </w:tcPr>
          <w:p w:rsidR="000B49C0" w:rsidRPr="003B7BB5" w:rsidRDefault="000B49C0" w:rsidP="0030649E">
            <w:pPr>
              <w:rPr>
                <w:sz w:val="19"/>
                <w:szCs w:val="19"/>
              </w:rPr>
            </w:pPr>
            <w:r w:rsidRPr="003B7BB5">
              <w:rPr>
                <w:sz w:val="19"/>
                <w:szCs w:val="19"/>
              </w:rPr>
              <w:t>Зона № 19  (от 261 до 300 км)</w:t>
            </w:r>
          </w:p>
        </w:tc>
        <w:tc>
          <w:tcPr>
            <w:tcW w:w="1871"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17940</w:t>
            </w:r>
          </w:p>
        </w:tc>
        <w:tc>
          <w:tcPr>
            <w:tcW w:w="1727"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12087</w:t>
            </w:r>
          </w:p>
        </w:tc>
        <w:tc>
          <w:tcPr>
            <w:tcW w:w="1876"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12302</w:t>
            </w:r>
          </w:p>
        </w:tc>
      </w:tr>
      <w:tr w:rsidR="000B49C0" w:rsidRPr="003B7BB5" w:rsidTr="0030649E">
        <w:trPr>
          <w:trHeight w:val="125"/>
          <w:jc w:val="center"/>
        </w:trPr>
        <w:tc>
          <w:tcPr>
            <w:tcW w:w="3311" w:type="dxa"/>
            <w:tcBorders>
              <w:top w:val="nil"/>
              <w:left w:val="single" w:sz="4" w:space="0" w:color="000000"/>
              <w:bottom w:val="single" w:sz="4" w:space="0" w:color="auto"/>
              <w:right w:val="single" w:sz="4" w:space="0" w:color="000000"/>
            </w:tcBorders>
            <w:noWrap/>
            <w:hideMark/>
          </w:tcPr>
          <w:p w:rsidR="000B49C0" w:rsidRPr="003B7BB5" w:rsidRDefault="000B49C0" w:rsidP="0030649E">
            <w:pPr>
              <w:rPr>
                <w:sz w:val="19"/>
                <w:szCs w:val="19"/>
              </w:rPr>
            </w:pPr>
            <w:r w:rsidRPr="003B7BB5">
              <w:rPr>
                <w:sz w:val="19"/>
                <w:szCs w:val="19"/>
              </w:rPr>
              <w:t>Зона № 20  (от 301 до 350 км)</w:t>
            </w:r>
          </w:p>
        </w:tc>
        <w:tc>
          <w:tcPr>
            <w:tcW w:w="1871" w:type="dxa"/>
            <w:tcBorders>
              <w:top w:val="nil"/>
              <w:left w:val="nil"/>
              <w:bottom w:val="single" w:sz="4" w:space="0" w:color="auto"/>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20715</w:t>
            </w:r>
          </w:p>
        </w:tc>
        <w:tc>
          <w:tcPr>
            <w:tcW w:w="1727" w:type="dxa"/>
            <w:tcBorders>
              <w:top w:val="nil"/>
              <w:left w:val="single" w:sz="4" w:space="0" w:color="auto"/>
              <w:bottom w:val="single" w:sz="4" w:space="0" w:color="auto"/>
              <w:right w:val="single" w:sz="4" w:space="0" w:color="auto"/>
            </w:tcBorders>
            <w:vAlign w:val="bottom"/>
            <w:hideMark/>
          </w:tcPr>
          <w:p w:rsidR="000B49C0" w:rsidRPr="003B7BB5" w:rsidRDefault="000B49C0" w:rsidP="0030649E">
            <w:pPr>
              <w:jc w:val="center"/>
              <w:rPr>
                <w:sz w:val="19"/>
                <w:szCs w:val="19"/>
              </w:rPr>
            </w:pPr>
            <w:r w:rsidRPr="003B7BB5">
              <w:rPr>
                <w:sz w:val="19"/>
                <w:szCs w:val="19"/>
              </w:rPr>
              <w:t>14037</w:t>
            </w:r>
          </w:p>
        </w:tc>
        <w:tc>
          <w:tcPr>
            <w:tcW w:w="1876" w:type="dxa"/>
            <w:tcBorders>
              <w:top w:val="nil"/>
              <w:left w:val="single" w:sz="4" w:space="0" w:color="auto"/>
              <w:bottom w:val="single" w:sz="4" w:space="0" w:color="auto"/>
              <w:right w:val="single" w:sz="4" w:space="0" w:color="auto"/>
            </w:tcBorders>
            <w:vAlign w:val="bottom"/>
            <w:hideMark/>
          </w:tcPr>
          <w:p w:rsidR="000B49C0" w:rsidRPr="003B7BB5" w:rsidRDefault="000B49C0" w:rsidP="0030649E">
            <w:pPr>
              <w:jc w:val="center"/>
              <w:rPr>
                <w:sz w:val="19"/>
                <w:szCs w:val="19"/>
              </w:rPr>
            </w:pPr>
            <w:r w:rsidRPr="003B7BB5">
              <w:rPr>
                <w:sz w:val="19"/>
                <w:szCs w:val="19"/>
              </w:rPr>
              <w:t>14252</w:t>
            </w:r>
          </w:p>
        </w:tc>
      </w:tr>
      <w:tr w:rsidR="000B49C0" w:rsidRPr="003B7BB5" w:rsidTr="0030649E">
        <w:trPr>
          <w:trHeight w:val="42"/>
          <w:jc w:val="center"/>
        </w:trPr>
        <w:tc>
          <w:tcPr>
            <w:tcW w:w="3311" w:type="dxa"/>
            <w:tcBorders>
              <w:top w:val="single" w:sz="4" w:space="0" w:color="auto"/>
              <w:left w:val="single" w:sz="4" w:space="0" w:color="000000"/>
              <w:bottom w:val="single" w:sz="4" w:space="0" w:color="auto"/>
              <w:right w:val="single" w:sz="4" w:space="0" w:color="000000"/>
            </w:tcBorders>
            <w:noWrap/>
            <w:hideMark/>
          </w:tcPr>
          <w:p w:rsidR="000B49C0" w:rsidRPr="003B7BB5" w:rsidRDefault="000B49C0" w:rsidP="0030649E">
            <w:pPr>
              <w:rPr>
                <w:sz w:val="19"/>
                <w:szCs w:val="19"/>
              </w:rPr>
            </w:pPr>
            <w:r w:rsidRPr="003B7BB5">
              <w:rPr>
                <w:sz w:val="19"/>
                <w:szCs w:val="19"/>
              </w:rPr>
              <w:t>Зона № 21  (от 351 до 410 км)</w:t>
            </w:r>
          </w:p>
        </w:tc>
        <w:tc>
          <w:tcPr>
            <w:tcW w:w="1871" w:type="dxa"/>
            <w:tcBorders>
              <w:top w:val="single" w:sz="4" w:space="0" w:color="auto"/>
              <w:left w:val="nil"/>
              <w:bottom w:val="single" w:sz="4" w:space="0" w:color="auto"/>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24045</w:t>
            </w:r>
          </w:p>
        </w:tc>
        <w:tc>
          <w:tcPr>
            <w:tcW w:w="1727" w:type="dxa"/>
            <w:tcBorders>
              <w:top w:val="single" w:sz="4" w:space="0" w:color="auto"/>
              <w:left w:val="single" w:sz="4" w:space="0" w:color="auto"/>
              <w:bottom w:val="single" w:sz="4" w:space="0" w:color="auto"/>
              <w:right w:val="single" w:sz="4" w:space="0" w:color="auto"/>
            </w:tcBorders>
            <w:vAlign w:val="bottom"/>
            <w:hideMark/>
          </w:tcPr>
          <w:p w:rsidR="000B49C0" w:rsidRPr="003B7BB5" w:rsidRDefault="000B49C0" w:rsidP="0030649E">
            <w:pPr>
              <w:jc w:val="center"/>
              <w:rPr>
                <w:sz w:val="19"/>
                <w:szCs w:val="19"/>
              </w:rPr>
            </w:pPr>
            <w:r w:rsidRPr="003B7BB5">
              <w:rPr>
                <w:sz w:val="19"/>
                <w:szCs w:val="19"/>
              </w:rPr>
              <w:t>16377</w:t>
            </w:r>
          </w:p>
        </w:tc>
        <w:tc>
          <w:tcPr>
            <w:tcW w:w="1876" w:type="dxa"/>
            <w:tcBorders>
              <w:top w:val="single" w:sz="4" w:space="0" w:color="auto"/>
              <w:left w:val="single" w:sz="4" w:space="0" w:color="auto"/>
              <w:bottom w:val="single" w:sz="4" w:space="0" w:color="auto"/>
              <w:right w:val="single" w:sz="4" w:space="0" w:color="auto"/>
            </w:tcBorders>
            <w:vAlign w:val="bottom"/>
            <w:hideMark/>
          </w:tcPr>
          <w:p w:rsidR="000B49C0" w:rsidRPr="003B7BB5" w:rsidRDefault="000B49C0" w:rsidP="0030649E">
            <w:pPr>
              <w:jc w:val="center"/>
              <w:rPr>
                <w:sz w:val="19"/>
                <w:szCs w:val="19"/>
              </w:rPr>
            </w:pPr>
            <w:r w:rsidRPr="003B7BB5">
              <w:rPr>
                <w:sz w:val="19"/>
                <w:szCs w:val="19"/>
              </w:rPr>
              <w:t>16592</w:t>
            </w:r>
          </w:p>
        </w:tc>
      </w:tr>
      <w:tr w:rsidR="000B49C0" w:rsidRPr="003B7BB5" w:rsidTr="0030649E">
        <w:trPr>
          <w:trHeight w:val="37"/>
          <w:jc w:val="center"/>
        </w:trPr>
        <w:tc>
          <w:tcPr>
            <w:tcW w:w="3311" w:type="dxa"/>
            <w:tcBorders>
              <w:top w:val="single" w:sz="4" w:space="0" w:color="auto"/>
              <w:left w:val="single" w:sz="4" w:space="0" w:color="000000"/>
              <w:bottom w:val="single" w:sz="4" w:space="0" w:color="000000"/>
              <w:right w:val="single" w:sz="4" w:space="0" w:color="000000"/>
            </w:tcBorders>
            <w:noWrap/>
            <w:hideMark/>
          </w:tcPr>
          <w:p w:rsidR="000B49C0" w:rsidRPr="003B7BB5" w:rsidRDefault="000B49C0" w:rsidP="0030649E">
            <w:pPr>
              <w:rPr>
                <w:sz w:val="19"/>
                <w:szCs w:val="19"/>
              </w:rPr>
            </w:pPr>
            <w:r w:rsidRPr="003B7BB5">
              <w:rPr>
                <w:sz w:val="19"/>
                <w:szCs w:val="19"/>
              </w:rPr>
              <w:t>Зона № 22  (от 411 до 450 км)</w:t>
            </w:r>
          </w:p>
        </w:tc>
        <w:tc>
          <w:tcPr>
            <w:tcW w:w="1871" w:type="dxa"/>
            <w:tcBorders>
              <w:top w:val="single" w:sz="4" w:space="0" w:color="auto"/>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26265</w:t>
            </w:r>
          </w:p>
        </w:tc>
        <w:tc>
          <w:tcPr>
            <w:tcW w:w="1727" w:type="dxa"/>
            <w:tcBorders>
              <w:top w:val="single" w:sz="4" w:space="0" w:color="auto"/>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17937</w:t>
            </w:r>
          </w:p>
        </w:tc>
        <w:tc>
          <w:tcPr>
            <w:tcW w:w="1876" w:type="dxa"/>
            <w:tcBorders>
              <w:top w:val="single" w:sz="4" w:space="0" w:color="auto"/>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18152</w:t>
            </w:r>
          </w:p>
        </w:tc>
      </w:tr>
      <w:tr w:rsidR="000B49C0" w:rsidRPr="003B7BB5" w:rsidTr="0030649E">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0B49C0" w:rsidRPr="003B7BB5" w:rsidRDefault="000B49C0" w:rsidP="0030649E">
            <w:pPr>
              <w:rPr>
                <w:sz w:val="19"/>
                <w:szCs w:val="19"/>
              </w:rPr>
            </w:pPr>
            <w:r w:rsidRPr="003B7BB5">
              <w:rPr>
                <w:sz w:val="19"/>
                <w:szCs w:val="19"/>
              </w:rPr>
              <w:t>Норма простоя под загрузкой/разгрузкой, час</w:t>
            </w:r>
          </w:p>
        </w:tc>
        <w:tc>
          <w:tcPr>
            <w:tcW w:w="1871" w:type="dxa"/>
            <w:tcBorders>
              <w:top w:val="nil"/>
              <w:left w:val="nil"/>
              <w:bottom w:val="single" w:sz="4" w:space="0" w:color="000000"/>
              <w:right w:val="single" w:sz="4" w:space="0" w:color="000000"/>
            </w:tcBorders>
            <w:noWrap/>
            <w:vAlign w:val="bottom"/>
            <w:hideMark/>
          </w:tcPr>
          <w:p w:rsidR="000B49C0" w:rsidRPr="003B7BB5" w:rsidRDefault="000B49C0" w:rsidP="0030649E">
            <w:pPr>
              <w:jc w:val="center"/>
              <w:rPr>
                <w:sz w:val="19"/>
                <w:szCs w:val="19"/>
              </w:rPr>
            </w:pPr>
            <w:r w:rsidRPr="003B7BB5">
              <w:rPr>
                <w:sz w:val="19"/>
                <w:szCs w:val="19"/>
              </w:rPr>
              <w:t>2,5</w:t>
            </w:r>
          </w:p>
        </w:tc>
        <w:tc>
          <w:tcPr>
            <w:tcW w:w="1727"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1,0</w:t>
            </w:r>
          </w:p>
        </w:tc>
        <w:tc>
          <w:tcPr>
            <w:tcW w:w="1876" w:type="dxa"/>
            <w:tcBorders>
              <w:top w:val="nil"/>
              <w:left w:val="single" w:sz="4" w:space="0" w:color="auto"/>
              <w:bottom w:val="single" w:sz="4" w:space="0" w:color="000000"/>
              <w:right w:val="single" w:sz="4" w:space="0" w:color="auto"/>
            </w:tcBorders>
            <w:vAlign w:val="bottom"/>
            <w:hideMark/>
          </w:tcPr>
          <w:p w:rsidR="000B49C0" w:rsidRPr="003B7BB5" w:rsidRDefault="000B49C0" w:rsidP="0030649E">
            <w:pPr>
              <w:jc w:val="center"/>
              <w:rPr>
                <w:sz w:val="19"/>
                <w:szCs w:val="19"/>
              </w:rPr>
            </w:pPr>
            <w:r w:rsidRPr="003B7BB5">
              <w:rPr>
                <w:sz w:val="19"/>
                <w:szCs w:val="19"/>
              </w:rPr>
              <w:t>1,5</w:t>
            </w:r>
          </w:p>
        </w:tc>
      </w:tr>
      <w:tr w:rsidR="000B49C0" w:rsidRPr="003B7BB5" w:rsidTr="0030649E">
        <w:trPr>
          <w:trHeight w:val="425"/>
          <w:jc w:val="center"/>
        </w:trPr>
        <w:tc>
          <w:tcPr>
            <w:tcW w:w="3311" w:type="dxa"/>
            <w:tcBorders>
              <w:top w:val="nil"/>
              <w:left w:val="single" w:sz="4" w:space="0" w:color="000000"/>
              <w:bottom w:val="single" w:sz="4" w:space="0" w:color="auto"/>
              <w:right w:val="single" w:sz="4" w:space="0" w:color="000000"/>
            </w:tcBorders>
            <w:noWrap/>
            <w:vAlign w:val="bottom"/>
            <w:hideMark/>
          </w:tcPr>
          <w:p w:rsidR="000B49C0" w:rsidRPr="003B7BB5" w:rsidRDefault="000B49C0" w:rsidP="0030649E">
            <w:pPr>
              <w:rPr>
                <w:sz w:val="19"/>
                <w:szCs w:val="19"/>
              </w:rPr>
            </w:pPr>
            <w:r w:rsidRPr="003B7BB5">
              <w:rPr>
                <w:sz w:val="19"/>
                <w:szCs w:val="19"/>
              </w:rPr>
              <w:t>Ставки сверхнормативного простоя под загрузкой/разгрузкой, руб/час</w:t>
            </w:r>
          </w:p>
        </w:tc>
        <w:tc>
          <w:tcPr>
            <w:tcW w:w="1871" w:type="dxa"/>
            <w:tcBorders>
              <w:top w:val="nil"/>
              <w:left w:val="nil"/>
              <w:bottom w:val="single" w:sz="4" w:space="0" w:color="auto"/>
              <w:right w:val="single" w:sz="4" w:space="0" w:color="000000"/>
            </w:tcBorders>
            <w:noWrap/>
            <w:vAlign w:val="bottom"/>
            <w:hideMark/>
          </w:tcPr>
          <w:p w:rsidR="000B49C0" w:rsidRPr="003B7BB5" w:rsidRDefault="000B49C0" w:rsidP="0030649E">
            <w:pPr>
              <w:jc w:val="center"/>
              <w:rPr>
                <w:bCs/>
                <w:sz w:val="19"/>
                <w:szCs w:val="19"/>
              </w:rPr>
            </w:pPr>
            <w:r w:rsidRPr="003B7BB5">
              <w:rPr>
                <w:bCs/>
                <w:sz w:val="19"/>
                <w:szCs w:val="19"/>
              </w:rPr>
              <w:t xml:space="preserve">720 </w:t>
            </w:r>
          </w:p>
        </w:tc>
        <w:tc>
          <w:tcPr>
            <w:tcW w:w="1727" w:type="dxa"/>
            <w:tcBorders>
              <w:top w:val="nil"/>
              <w:left w:val="single" w:sz="4" w:space="0" w:color="auto"/>
              <w:bottom w:val="single" w:sz="4" w:space="0" w:color="auto"/>
              <w:right w:val="single" w:sz="4" w:space="0" w:color="auto"/>
            </w:tcBorders>
            <w:vAlign w:val="bottom"/>
            <w:hideMark/>
          </w:tcPr>
          <w:p w:rsidR="000B49C0" w:rsidRPr="003B7BB5" w:rsidRDefault="000B49C0" w:rsidP="0030649E">
            <w:pPr>
              <w:jc w:val="center"/>
              <w:rPr>
                <w:sz w:val="19"/>
                <w:szCs w:val="19"/>
              </w:rPr>
            </w:pPr>
            <w:r w:rsidRPr="003B7BB5">
              <w:rPr>
                <w:bCs/>
                <w:sz w:val="19"/>
                <w:szCs w:val="19"/>
              </w:rPr>
              <w:t xml:space="preserve">516 </w:t>
            </w:r>
          </w:p>
        </w:tc>
        <w:tc>
          <w:tcPr>
            <w:tcW w:w="1876" w:type="dxa"/>
            <w:tcBorders>
              <w:top w:val="nil"/>
              <w:left w:val="single" w:sz="4" w:space="0" w:color="auto"/>
              <w:bottom w:val="single" w:sz="4" w:space="0" w:color="auto"/>
              <w:right w:val="single" w:sz="4" w:space="0" w:color="auto"/>
            </w:tcBorders>
            <w:vAlign w:val="bottom"/>
            <w:hideMark/>
          </w:tcPr>
          <w:p w:rsidR="000B49C0" w:rsidRPr="003B7BB5" w:rsidRDefault="000B49C0" w:rsidP="0030649E">
            <w:pPr>
              <w:jc w:val="center"/>
              <w:rPr>
                <w:sz w:val="19"/>
                <w:szCs w:val="19"/>
              </w:rPr>
            </w:pPr>
            <w:r w:rsidRPr="003B7BB5">
              <w:rPr>
                <w:bCs/>
                <w:sz w:val="19"/>
                <w:szCs w:val="19"/>
              </w:rPr>
              <w:t xml:space="preserve">516 </w:t>
            </w:r>
          </w:p>
        </w:tc>
      </w:tr>
    </w:tbl>
    <w:p w:rsidR="000B49C0" w:rsidRPr="000B49C0" w:rsidRDefault="000B49C0" w:rsidP="000B49C0">
      <w:pPr>
        <w:jc w:val="center"/>
        <w:rPr>
          <w:b/>
          <w:bCs/>
          <w:sz w:val="22"/>
          <w:szCs w:val="22"/>
        </w:rPr>
      </w:pPr>
      <w:r w:rsidRPr="00F74E77">
        <w:rPr>
          <w:b/>
          <w:bCs/>
          <w:sz w:val="22"/>
          <w:szCs w:val="22"/>
        </w:rPr>
        <w:t>Предельные ставки платы за аренду транспортных средств с экипажем</w:t>
      </w:r>
    </w:p>
    <w:tbl>
      <w:tblPr>
        <w:tblW w:w="8960" w:type="dxa"/>
        <w:jc w:val="center"/>
        <w:tblInd w:w="-34" w:type="dxa"/>
        <w:tblLook w:val="04A0"/>
      </w:tblPr>
      <w:tblGrid>
        <w:gridCol w:w="3435"/>
        <w:gridCol w:w="5525"/>
      </w:tblGrid>
      <w:tr w:rsidR="000B49C0" w:rsidRPr="003B7BB5" w:rsidTr="000B49C0">
        <w:trPr>
          <w:trHeight w:val="687"/>
          <w:jc w:val="center"/>
        </w:trPr>
        <w:tc>
          <w:tcPr>
            <w:tcW w:w="3435" w:type="dxa"/>
            <w:tcBorders>
              <w:top w:val="single" w:sz="4" w:space="0" w:color="auto"/>
              <w:left w:val="single" w:sz="4" w:space="0" w:color="auto"/>
              <w:bottom w:val="single" w:sz="4" w:space="0" w:color="auto"/>
              <w:right w:val="single" w:sz="4" w:space="0" w:color="auto"/>
            </w:tcBorders>
            <w:noWrap/>
            <w:vAlign w:val="center"/>
            <w:hideMark/>
          </w:tcPr>
          <w:p w:rsidR="000B49C0" w:rsidRPr="003B7BB5" w:rsidRDefault="000B49C0" w:rsidP="0030649E">
            <w:pPr>
              <w:jc w:val="center"/>
              <w:rPr>
                <w:sz w:val="19"/>
                <w:szCs w:val="19"/>
              </w:rPr>
            </w:pPr>
            <w:r w:rsidRPr="003B7BB5">
              <w:rPr>
                <w:sz w:val="19"/>
                <w:szCs w:val="19"/>
              </w:rPr>
              <w:t>Наименование услуги</w:t>
            </w:r>
          </w:p>
        </w:tc>
        <w:tc>
          <w:tcPr>
            <w:tcW w:w="5525" w:type="dxa"/>
            <w:tcBorders>
              <w:top w:val="single" w:sz="4" w:space="0" w:color="auto"/>
              <w:left w:val="nil"/>
              <w:bottom w:val="single" w:sz="4" w:space="0" w:color="000000"/>
              <w:right w:val="single" w:sz="4" w:space="0" w:color="auto"/>
            </w:tcBorders>
            <w:noWrap/>
            <w:vAlign w:val="bottom"/>
            <w:hideMark/>
          </w:tcPr>
          <w:p w:rsidR="000B49C0" w:rsidRPr="003B7BB5" w:rsidRDefault="000B49C0" w:rsidP="0030649E">
            <w:pPr>
              <w:pStyle w:val="af"/>
              <w:jc w:val="center"/>
              <w:rPr>
                <w:sz w:val="19"/>
                <w:szCs w:val="19"/>
              </w:rPr>
            </w:pPr>
            <w:r w:rsidRPr="003B7BB5">
              <w:rPr>
                <w:sz w:val="19"/>
                <w:szCs w:val="19"/>
              </w:rPr>
              <w:t xml:space="preserve">Предельные ставки арендной платы, руб. </w:t>
            </w:r>
          </w:p>
          <w:p w:rsidR="000B49C0" w:rsidRPr="003B7BB5" w:rsidRDefault="000B49C0" w:rsidP="0030649E">
            <w:pPr>
              <w:pStyle w:val="af"/>
              <w:jc w:val="center"/>
              <w:rPr>
                <w:bCs/>
                <w:sz w:val="19"/>
                <w:szCs w:val="19"/>
              </w:rPr>
            </w:pPr>
            <w:r w:rsidRPr="003B7BB5">
              <w:rPr>
                <w:sz w:val="19"/>
                <w:szCs w:val="19"/>
              </w:rPr>
              <w:t>(без учета НДС)</w:t>
            </w:r>
          </w:p>
        </w:tc>
      </w:tr>
      <w:tr w:rsidR="000B49C0" w:rsidRPr="003B7BB5" w:rsidTr="000B49C0">
        <w:trPr>
          <w:trHeight w:val="457"/>
          <w:jc w:val="center"/>
        </w:trPr>
        <w:tc>
          <w:tcPr>
            <w:tcW w:w="3435" w:type="dxa"/>
            <w:tcBorders>
              <w:top w:val="single" w:sz="4" w:space="0" w:color="auto"/>
              <w:left w:val="single" w:sz="4" w:space="0" w:color="auto"/>
              <w:bottom w:val="single" w:sz="4" w:space="0" w:color="auto"/>
              <w:right w:val="single" w:sz="4" w:space="0" w:color="auto"/>
            </w:tcBorders>
            <w:noWrap/>
            <w:vAlign w:val="bottom"/>
            <w:hideMark/>
          </w:tcPr>
          <w:p w:rsidR="000B49C0" w:rsidRPr="003B7BB5" w:rsidRDefault="000B49C0" w:rsidP="0030649E">
            <w:pPr>
              <w:jc w:val="center"/>
              <w:rPr>
                <w:bCs/>
                <w:sz w:val="19"/>
                <w:szCs w:val="19"/>
              </w:rPr>
            </w:pPr>
            <w:r w:rsidRPr="003B7BB5">
              <w:rPr>
                <w:bCs/>
                <w:sz w:val="19"/>
                <w:szCs w:val="19"/>
              </w:rPr>
              <w:t>Перевозка 20фут контейнера,  час</w:t>
            </w:r>
          </w:p>
        </w:tc>
        <w:tc>
          <w:tcPr>
            <w:tcW w:w="5525" w:type="dxa"/>
            <w:tcBorders>
              <w:top w:val="single" w:sz="4" w:space="0" w:color="auto"/>
              <w:left w:val="nil"/>
              <w:bottom w:val="single" w:sz="4" w:space="0" w:color="auto"/>
              <w:right w:val="single" w:sz="4" w:space="0" w:color="auto"/>
            </w:tcBorders>
            <w:noWrap/>
            <w:vAlign w:val="bottom"/>
            <w:hideMark/>
          </w:tcPr>
          <w:p w:rsidR="000B49C0" w:rsidRPr="003B7BB5" w:rsidRDefault="000B49C0" w:rsidP="0030649E">
            <w:pPr>
              <w:jc w:val="center"/>
              <w:rPr>
                <w:bCs/>
                <w:sz w:val="19"/>
                <w:szCs w:val="19"/>
              </w:rPr>
            </w:pPr>
            <w:r w:rsidRPr="003B7BB5">
              <w:rPr>
                <w:bCs/>
                <w:sz w:val="19"/>
                <w:szCs w:val="19"/>
              </w:rPr>
              <w:t>720</w:t>
            </w:r>
          </w:p>
        </w:tc>
      </w:tr>
      <w:tr w:rsidR="000B49C0" w:rsidRPr="003B7BB5" w:rsidTr="000B49C0">
        <w:trPr>
          <w:trHeight w:val="421"/>
          <w:jc w:val="center"/>
        </w:trPr>
        <w:tc>
          <w:tcPr>
            <w:tcW w:w="3435" w:type="dxa"/>
            <w:tcBorders>
              <w:top w:val="single" w:sz="4" w:space="0" w:color="auto"/>
              <w:left w:val="single" w:sz="4" w:space="0" w:color="auto"/>
              <w:bottom w:val="single" w:sz="4" w:space="0" w:color="auto"/>
              <w:right w:val="single" w:sz="4" w:space="0" w:color="auto"/>
            </w:tcBorders>
            <w:noWrap/>
            <w:vAlign w:val="bottom"/>
            <w:hideMark/>
          </w:tcPr>
          <w:p w:rsidR="000B49C0" w:rsidRPr="003B7BB5" w:rsidRDefault="000B49C0" w:rsidP="0030649E">
            <w:pPr>
              <w:jc w:val="center"/>
              <w:rPr>
                <w:sz w:val="19"/>
                <w:szCs w:val="19"/>
              </w:rPr>
            </w:pPr>
            <w:r w:rsidRPr="003B7BB5">
              <w:rPr>
                <w:bCs/>
                <w:sz w:val="19"/>
                <w:szCs w:val="19"/>
              </w:rPr>
              <w:t>Перевозка 40фут контейнера,  час</w:t>
            </w:r>
          </w:p>
        </w:tc>
        <w:tc>
          <w:tcPr>
            <w:tcW w:w="5525" w:type="dxa"/>
            <w:tcBorders>
              <w:top w:val="single" w:sz="4" w:space="0" w:color="auto"/>
              <w:left w:val="nil"/>
              <w:bottom w:val="single" w:sz="4" w:space="0" w:color="auto"/>
              <w:right w:val="single" w:sz="4" w:space="0" w:color="auto"/>
            </w:tcBorders>
            <w:noWrap/>
            <w:vAlign w:val="bottom"/>
            <w:hideMark/>
          </w:tcPr>
          <w:p w:rsidR="000B49C0" w:rsidRPr="003B7BB5" w:rsidRDefault="000B49C0" w:rsidP="0030649E">
            <w:pPr>
              <w:jc w:val="center"/>
              <w:rPr>
                <w:bCs/>
                <w:sz w:val="19"/>
                <w:szCs w:val="19"/>
              </w:rPr>
            </w:pPr>
            <w:r w:rsidRPr="003B7BB5">
              <w:rPr>
                <w:bCs/>
                <w:sz w:val="19"/>
                <w:szCs w:val="19"/>
              </w:rPr>
              <w:t>874</w:t>
            </w:r>
          </w:p>
        </w:tc>
      </w:tr>
    </w:tbl>
    <w:p w:rsidR="009A0126" w:rsidRDefault="009A0126" w:rsidP="00C13443">
      <w:pPr>
        <w:jc w:val="right"/>
        <w:rPr>
          <w:sz w:val="22"/>
          <w:szCs w:val="22"/>
        </w:rPr>
      </w:pPr>
    </w:p>
    <w:sectPr w:rsidR="009A0126" w:rsidSect="003B7BB5">
      <w:pgSz w:w="11906" w:h="16838"/>
      <w:pgMar w:top="568"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3B9" w:rsidRDefault="00B643B9" w:rsidP="00B470FA">
      <w:r>
        <w:separator/>
      </w:r>
    </w:p>
  </w:endnote>
  <w:endnote w:type="continuationSeparator" w:id="1">
    <w:p w:rsidR="00B643B9" w:rsidRDefault="00B643B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3B9" w:rsidRDefault="00B643B9" w:rsidP="00B470FA">
      <w:r>
        <w:separator/>
      </w:r>
    </w:p>
  </w:footnote>
  <w:footnote w:type="continuationSeparator" w:id="1">
    <w:p w:rsidR="00B643B9" w:rsidRDefault="00B643B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00152"/>
      <w:docPartObj>
        <w:docPartGallery w:val="Page Numbers (Top of Page)"/>
        <w:docPartUnique/>
      </w:docPartObj>
    </w:sdtPr>
    <w:sdtEndPr>
      <w:rPr>
        <w:sz w:val="24"/>
        <w:szCs w:val="24"/>
      </w:rPr>
    </w:sdtEndPr>
    <w:sdtContent>
      <w:p w:rsidR="00E37414" w:rsidRPr="00636E16" w:rsidRDefault="00230D3E" w:rsidP="00636E16">
        <w:pPr>
          <w:pStyle w:val="aff"/>
          <w:jc w:val="center"/>
          <w:rPr>
            <w:sz w:val="24"/>
            <w:szCs w:val="24"/>
          </w:rPr>
        </w:pPr>
        <w:r w:rsidRPr="00636E16">
          <w:rPr>
            <w:sz w:val="24"/>
            <w:szCs w:val="24"/>
          </w:rPr>
          <w:fldChar w:fldCharType="begin"/>
        </w:r>
        <w:r w:rsidR="00E37414" w:rsidRPr="00636E16">
          <w:rPr>
            <w:sz w:val="24"/>
            <w:szCs w:val="24"/>
          </w:rPr>
          <w:instrText>PAGE   \* MERGEFORMAT</w:instrText>
        </w:r>
        <w:r w:rsidRPr="00636E16">
          <w:rPr>
            <w:sz w:val="24"/>
            <w:szCs w:val="24"/>
          </w:rPr>
          <w:fldChar w:fldCharType="separate"/>
        </w:r>
        <w:r w:rsidR="00C13443">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44D4007"/>
    <w:multiLevelType w:val="hybridMultilevel"/>
    <w:tmpl w:val="11AEBD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2">
    <w:nsid w:val="3ACB4515"/>
    <w:multiLevelType w:val="hybridMultilevel"/>
    <w:tmpl w:val="8CD67DC2"/>
    <w:lvl w:ilvl="0" w:tplc="0409000F">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3">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nsid w:val="5B3C59FE"/>
    <w:multiLevelType w:val="hybridMultilevel"/>
    <w:tmpl w:val="11AEBD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6"/>
  </w:num>
  <w:num w:numId="2">
    <w:abstractNumId w:val="13"/>
  </w:num>
  <w:num w:numId="3">
    <w:abstractNumId w:val="9"/>
  </w:num>
  <w:num w:numId="4">
    <w:abstractNumId w:val="8"/>
  </w:num>
  <w:num w:numId="5">
    <w:abstractNumId w:val="0"/>
  </w:num>
  <w:num w:numId="6">
    <w:abstractNumId w:val="15"/>
  </w:num>
  <w:num w:numId="7">
    <w:abstractNumId w:val="11"/>
  </w:num>
  <w:num w:numId="8">
    <w:abstractNumId w:val="12"/>
  </w:num>
  <w:num w:numId="9">
    <w:abstractNumId w:val="7"/>
  </w:num>
  <w:num w:numId="1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7169"/>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014"/>
    <w:rsid w:val="00096AD7"/>
    <w:rsid w:val="00096DB2"/>
    <w:rsid w:val="00096E36"/>
    <w:rsid w:val="000976AD"/>
    <w:rsid w:val="000977C3"/>
    <w:rsid w:val="000A0467"/>
    <w:rsid w:val="000A110F"/>
    <w:rsid w:val="000A18AC"/>
    <w:rsid w:val="000A488A"/>
    <w:rsid w:val="000A4E50"/>
    <w:rsid w:val="000A6618"/>
    <w:rsid w:val="000A6710"/>
    <w:rsid w:val="000A6A92"/>
    <w:rsid w:val="000A6D34"/>
    <w:rsid w:val="000A7212"/>
    <w:rsid w:val="000B0425"/>
    <w:rsid w:val="000B2262"/>
    <w:rsid w:val="000B3973"/>
    <w:rsid w:val="000B41E5"/>
    <w:rsid w:val="000B49C0"/>
    <w:rsid w:val="000B4FCD"/>
    <w:rsid w:val="000B528A"/>
    <w:rsid w:val="000B79B9"/>
    <w:rsid w:val="000B7E67"/>
    <w:rsid w:val="000C1659"/>
    <w:rsid w:val="000C1B0B"/>
    <w:rsid w:val="000C2A8B"/>
    <w:rsid w:val="000C2CC6"/>
    <w:rsid w:val="000C35D9"/>
    <w:rsid w:val="000C372F"/>
    <w:rsid w:val="000C5598"/>
    <w:rsid w:val="000C6383"/>
    <w:rsid w:val="000C6DFE"/>
    <w:rsid w:val="000D01AD"/>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5FFB"/>
    <w:rsid w:val="00106656"/>
    <w:rsid w:val="0010690A"/>
    <w:rsid w:val="00107424"/>
    <w:rsid w:val="00107B4D"/>
    <w:rsid w:val="00110637"/>
    <w:rsid w:val="00111338"/>
    <w:rsid w:val="00111A45"/>
    <w:rsid w:val="001124F2"/>
    <w:rsid w:val="001129D3"/>
    <w:rsid w:val="0011415D"/>
    <w:rsid w:val="00115814"/>
    <w:rsid w:val="00115CFE"/>
    <w:rsid w:val="00120679"/>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335"/>
    <w:rsid w:val="001645A9"/>
    <w:rsid w:val="00164F72"/>
    <w:rsid w:val="001658FF"/>
    <w:rsid w:val="001675EF"/>
    <w:rsid w:val="001677C7"/>
    <w:rsid w:val="00167B57"/>
    <w:rsid w:val="0017090B"/>
    <w:rsid w:val="001709C5"/>
    <w:rsid w:val="001709E7"/>
    <w:rsid w:val="00170BE8"/>
    <w:rsid w:val="0017148B"/>
    <w:rsid w:val="0017255D"/>
    <w:rsid w:val="001737F1"/>
    <w:rsid w:val="001741C3"/>
    <w:rsid w:val="00174493"/>
    <w:rsid w:val="00174910"/>
    <w:rsid w:val="00174FD3"/>
    <w:rsid w:val="00175BF8"/>
    <w:rsid w:val="001777AA"/>
    <w:rsid w:val="00182B7D"/>
    <w:rsid w:val="00183762"/>
    <w:rsid w:val="00183DBA"/>
    <w:rsid w:val="001846D5"/>
    <w:rsid w:val="00184D35"/>
    <w:rsid w:val="00184DFD"/>
    <w:rsid w:val="00184EA0"/>
    <w:rsid w:val="001852F9"/>
    <w:rsid w:val="00185BE3"/>
    <w:rsid w:val="00186BA2"/>
    <w:rsid w:val="00191797"/>
    <w:rsid w:val="0019190C"/>
    <w:rsid w:val="00191D5E"/>
    <w:rsid w:val="0019289C"/>
    <w:rsid w:val="0019500C"/>
    <w:rsid w:val="00195092"/>
    <w:rsid w:val="0019525E"/>
    <w:rsid w:val="00195437"/>
    <w:rsid w:val="001957BC"/>
    <w:rsid w:val="00195831"/>
    <w:rsid w:val="001A0016"/>
    <w:rsid w:val="001A339E"/>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B7431"/>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4C7"/>
    <w:rsid w:val="001E567E"/>
    <w:rsid w:val="001E67F9"/>
    <w:rsid w:val="001E6E6A"/>
    <w:rsid w:val="001E7203"/>
    <w:rsid w:val="001E77EE"/>
    <w:rsid w:val="001F0D6D"/>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07D"/>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0D3E"/>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5F4"/>
    <w:rsid w:val="00242935"/>
    <w:rsid w:val="00243828"/>
    <w:rsid w:val="002441D8"/>
    <w:rsid w:val="002470F0"/>
    <w:rsid w:val="0024789C"/>
    <w:rsid w:val="00250947"/>
    <w:rsid w:val="00250CE6"/>
    <w:rsid w:val="002512A8"/>
    <w:rsid w:val="00251F1A"/>
    <w:rsid w:val="002523F5"/>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4F06"/>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5EAA"/>
    <w:rsid w:val="00297132"/>
    <w:rsid w:val="002973CE"/>
    <w:rsid w:val="00297941"/>
    <w:rsid w:val="002A00CE"/>
    <w:rsid w:val="002A04F4"/>
    <w:rsid w:val="002A0864"/>
    <w:rsid w:val="002A2343"/>
    <w:rsid w:val="002A34CD"/>
    <w:rsid w:val="002A3C96"/>
    <w:rsid w:val="002A5332"/>
    <w:rsid w:val="002A53C8"/>
    <w:rsid w:val="002A6284"/>
    <w:rsid w:val="002A6F8B"/>
    <w:rsid w:val="002A76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19C"/>
    <w:rsid w:val="002C6520"/>
    <w:rsid w:val="002C7016"/>
    <w:rsid w:val="002C7217"/>
    <w:rsid w:val="002D045D"/>
    <w:rsid w:val="002D08BB"/>
    <w:rsid w:val="002D2F5F"/>
    <w:rsid w:val="002D3639"/>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2C5A"/>
    <w:rsid w:val="00303223"/>
    <w:rsid w:val="003038B4"/>
    <w:rsid w:val="00303B97"/>
    <w:rsid w:val="00303DB4"/>
    <w:rsid w:val="00305E06"/>
    <w:rsid w:val="0030649E"/>
    <w:rsid w:val="003069F1"/>
    <w:rsid w:val="00307C7E"/>
    <w:rsid w:val="003101B5"/>
    <w:rsid w:val="003103F6"/>
    <w:rsid w:val="0031057F"/>
    <w:rsid w:val="00310C32"/>
    <w:rsid w:val="00313408"/>
    <w:rsid w:val="003137E0"/>
    <w:rsid w:val="00314B0F"/>
    <w:rsid w:val="0031574D"/>
    <w:rsid w:val="00316C0C"/>
    <w:rsid w:val="00317C10"/>
    <w:rsid w:val="0032260F"/>
    <w:rsid w:val="00322FC0"/>
    <w:rsid w:val="0032382F"/>
    <w:rsid w:val="00323C5E"/>
    <w:rsid w:val="00325CDA"/>
    <w:rsid w:val="003263BB"/>
    <w:rsid w:val="00326A63"/>
    <w:rsid w:val="003277C0"/>
    <w:rsid w:val="00327CC0"/>
    <w:rsid w:val="00327D25"/>
    <w:rsid w:val="003301F9"/>
    <w:rsid w:val="00330729"/>
    <w:rsid w:val="00331B05"/>
    <w:rsid w:val="00331BF2"/>
    <w:rsid w:val="00332644"/>
    <w:rsid w:val="0033313A"/>
    <w:rsid w:val="0033381D"/>
    <w:rsid w:val="00333961"/>
    <w:rsid w:val="003344AB"/>
    <w:rsid w:val="003347CC"/>
    <w:rsid w:val="00335007"/>
    <w:rsid w:val="003356C9"/>
    <w:rsid w:val="00336632"/>
    <w:rsid w:val="00336847"/>
    <w:rsid w:val="00336DEA"/>
    <w:rsid w:val="00337723"/>
    <w:rsid w:val="00337FD2"/>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5D4"/>
    <w:rsid w:val="003B1974"/>
    <w:rsid w:val="003B2333"/>
    <w:rsid w:val="003B2C0C"/>
    <w:rsid w:val="003B502B"/>
    <w:rsid w:val="003B55F4"/>
    <w:rsid w:val="003B69E5"/>
    <w:rsid w:val="003B6CFD"/>
    <w:rsid w:val="003B7BB5"/>
    <w:rsid w:val="003B7BF2"/>
    <w:rsid w:val="003C17BB"/>
    <w:rsid w:val="003C2F7E"/>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C4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3EF5"/>
    <w:rsid w:val="00485CCE"/>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059B"/>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382"/>
    <w:rsid w:val="004C7619"/>
    <w:rsid w:val="004D0730"/>
    <w:rsid w:val="004D2845"/>
    <w:rsid w:val="004D295F"/>
    <w:rsid w:val="004D3FBA"/>
    <w:rsid w:val="004D40AB"/>
    <w:rsid w:val="004D4420"/>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90A"/>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A68"/>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BE"/>
    <w:rsid w:val="0058778F"/>
    <w:rsid w:val="00587949"/>
    <w:rsid w:val="00590539"/>
    <w:rsid w:val="00590C6F"/>
    <w:rsid w:val="00591A18"/>
    <w:rsid w:val="00592075"/>
    <w:rsid w:val="005929C2"/>
    <w:rsid w:val="00593392"/>
    <w:rsid w:val="00594BBB"/>
    <w:rsid w:val="00594DF6"/>
    <w:rsid w:val="00595707"/>
    <w:rsid w:val="0059632A"/>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8E9"/>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4D9"/>
    <w:rsid w:val="005D5B48"/>
    <w:rsid w:val="005D65BC"/>
    <w:rsid w:val="005D6B22"/>
    <w:rsid w:val="005D703C"/>
    <w:rsid w:val="005E0A4D"/>
    <w:rsid w:val="005E0E99"/>
    <w:rsid w:val="005E18EE"/>
    <w:rsid w:val="005E1DB1"/>
    <w:rsid w:val="005E27D0"/>
    <w:rsid w:val="005E331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6409"/>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CB2"/>
    <w:rsid w:val="00645D23"/>
    <w:rsid w:val="006468EE"/>
    <w:rsid w:val="00646B44"/>
    <w:rsid w:val="00647729"/>
    <w:rsid w:val="006479BD"/>
    <w:rsid w:val="00647A1D"/>
    <w:rsid w:val="0065035B"/>
    <w:rsid w:val="00651A69"/>
    <w:rsid w:val="00653CDF"/>
    <w:rsid w:val="00655E9B"/>
    <w:rsid w:val="00656237"/>
    <w:rsid w:val="006562FB"/>
    <w:rsid w:val="00656FDB"/>
    <w:rsid w:val="00657289"/>
    <w:rsid w:val="0065749A"/>
    <w:rsid w:val="006577D5"/>
    <w:rsid w:val="0065794B"/>
    <w:rsid w:val="006579E9"/>
    <w:rsid w:val="00660956"/>
    <w:rsid w:val="006618AD"/>
    <w:rsid w:val="00661EA3"/>
    <w:rsid w:val="006637A6"/>
    <w:rsid w:val="00664505"/>
    <w:rsid w:val="006654D6"/>
    <w:rsid w:val="006656F7"/>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CCF"/>
    <w:rsid w:val="00693232"/>
    <w:rsid w:val="00693F52"/>
    <w:rsid w:val="006950F8"/>
    <w:rsid w:val="00695A30"/>
    <w:rsid w:val="006972AE"/>
    <w:rsid w:val="006972E3"/>
    <w:rsid w:val="0069790D"/>
    <w:rsid w:val="0069799A"/>
    <w:rsid w:val="00697B51"/>
    <w:rsid w:val="006A0509"/>
    <w:rsid w:val="006A28CB"/>
    <w:rsid w:val="006A2B6D"/>
    <w:rsid w:val="006A4C07"/>
    <w:rsid w:val="006A4CBF"/>
    <w:rsid w:val="006A5796"/>
    <w:rsid w:val="006A6B25"/>
    <w:rsid w:val="006A6F54"/>
    <w:rsid w:val="006A7858"/>
    <w:rsid w:val="006A7A24"/>
    <w:rsid w:val="006B03AE"/>
    <w:rsid w:val="006B17E0"/>
    <w:rsid w:val="006B2695"/>
    <w:rsid w:val="006B26B4"/>
    <w:rsid w:val="006B26C6"/>
    <w:rsid w:val="006B30D2"/>
    <w:rsid w:val="006B4525"/>
    <w:rsid w:val="006B51B9"/>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D7D77"/>
    <w:rsid w:val="006E0FC4"/>
    <w:rsid w:val="006E1A75"/>
    <w:rsid w:val="006E292E"/>
    <w:rsid w:val="006E2A57"/>
    <w:rsid w:val="006E2FF8"/>
    <w:rsid w:val="006E5C22"/>
    <w:rsid w:val="006E61D9"/>
    <w:rsid w:val="006E6729"/>
    <w:rsid w:val="006E6A83"/>
    <w:rsid w:val="006E70E1"/>
    <w:rsid w:val="006E7201"/>
    <w:rsid w:val="006F0B92"/>
    <w:rsid w:val="006F1646"/>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209"/>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0B"/>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64E"/>
    <w:rsid w:val="007D3A6C"/>
    <w:rsid w:val="007D49DB"/>
    <w:rsid w:val="007D4AC4"/>
    <w:rsid w:val="007D4B58"/>
    <w:rsid w:val="007D589F"/>
    <w:rsid w:val="007D6E17"/>
    <w:rsid w:val="007D6FC1"/>
    <w:rsid w:val="007E009C"/>
    <w:rsid w:val="007E08B1"/>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2F4"/>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09A2"/>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2C39"/>
    <w:rsid w:val="009163AC"/>
    <w:rsid w:val="00916968"/>
    <w:rsid w:val="00916F04"/>
    <w:rsid w:val="00917404"/>
    <w:rsid w:val="0091790B"/>
    <w:rsid w:val="00920288"/>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8F7"/>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6316"/>
    <w:rsid w:val="00997823"/>
    <w:rsid w:val="009A0126"/>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478D"/>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0C0"/>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908"/>
    <w:rsid w:val="00A66F95"/>
    <w:rsid w:val="00A70E6B"/>
    <w:rsid w:val="00A72A21"/>
    <w:rsid w:val="00A730DF"/>
    <w:rsid w:val="00A7748D"/>
    <w:rsid w:val="00A775E0"/>
    <w:rsid w:val="00A80B26"/>
    <w:rsid w:val="00A81E42"/>
    <w:rsid w:val="00A82AF4"/>
    <w:rsid w:val="00A82FBD"/>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07F1"/>
    <w:rsid w:val="00AB2936"/>
    <w:rsid w:val="00AB2D04"/>
    <w:rsid w:val="00AB37D2"/>
    <w:rsid w:val="00AB48DE"/>
    <w:rsid w:val="00AB4A8F"/>
    <w:rsid w:val="00AB4E0C"/>
    <w:rsid w:val="00AB6EBB"/>
    <w:rsid w:val="00AB7482"/>
    <w:rsid w:val="00AC0041"/>
    <w:rsid w:val="00AC0105"/>
    <w:rsid w:val="00AC024E"/>
    <w:rsid w:val="00AC0F96"/>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60D8"/>
    <w:rsid w:val="00AD747A"/>
    <w:rsid w:val="00AD7951"/>
    <w:rsid w:val="00AE0462"/>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34D"/>
    <w:rsid w:val="00AF5455"/>
    <w:rsid w:val="00AF6F41"/>
    <w:rsid w:val="00B02F2D"/>
    <w:rsid w:val="00B038FF"/>
    <w:rsid w:val="00B04279"/>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04E"/>
    <w:rsid w:val="00B45587"/>
    <w:rsid w:val="00B46C1B"/>
    <w:rsid w:val="00B46F98"/>
    <w:rsid w:val="00B470FA"/>
    <w:rsid w:val="00B50E9A"/>
    <w:rsid w:val="00B5265B"/>
    <w:rsid w:val="00B52F2A"/>
    <w:rsid w:val="00B53148"/>
    <w:rsid w:val="00B53843"/>
    <w:rsid w:val="00B539D1"/>
    <w:rsid w:val="00B5466C"/>
    <w:rsid w:val="00B546B6"/>
    <w:rsid w:val="00B54A31"/>
    <w:rsid w:val="00B55282"/>
    <w:rsid w:val="00B564CF"/>
    <w:rsid w:val="00B56BC3"/>
    <w:rsid w:val="00B612B0"/>
    <w:rsid w:val="00B61CD9"/>
    <w:rsid w:val="00B62B03"/>
    <w:rsid w:val="00B630BA"/>
    <w:rsid w:val="00B64397"/>
    <w:rsid w:val="00B643B9"/>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0F8E"/>
    <w:rsid w:val="00BD13CC"/>
    <w:rsid w:val="00BD2882"/>
    <w:rsid w:val="00BD2D2F"/>
    <w:rsid w:val="00BD31A9"/>
    <w:rsid w:val="00BD4BF9"/>
    <w:rsid w:val="00BD4D3D"/>
    <w:rsid w:val="00BD564F"/>
    <w:rsid w:val="00BD693C"/>
    <w:rsid w:val="00BD7020"/>
    <w:rsid w:val="00BD7C81"/>
    <w:rsid w:val="00BD7F01"/>
    <w:rsid w:val="00BE0302"/>
    <w:rsid w:val="00BE0589"/>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443"/>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0C"/>
    <w:rsid w:val="00C314A3"/>
    <w:rsid w:val="00C320EC"/>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1F11"/>
    <w:rsid w:val="00C53016"/>
    <w:rsid w:val="00C54031"/>
    <w:rsid w:val="00C54D6C"/>
    <w:rsid w:val="00C5581C"/>
    <w:rsid w:val="00C5605E"/>
    <w:rsid w:val="00C60694"/>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959"/>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C744E"/>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44C"/>
    <w:rsid w:val="00D02697"/>
    <w:rsid w:val="00D02945"/>
    <w:rsid w:val="00D03BB2"/>
    <w:rsid w:val="00D03F87"/>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444"/>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75CF4"/>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17F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337"/>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1D"/>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37414"/>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006"/>
    <w:rsid w:val="00E9386E"/>
    <w:rsid w:val="00E94158"/>
    <w:rsid w:val="00E95890"/>
    <w:rsid w:val="00E9613E"/>
    <w:rsid w:val="00E96842"/>
    <w:rsid w:val="00E97723"/>
    <w:rsid w:val="00E97E25"/>
    <w:rsid w:val="00EA0CF7"/>
    <w:rsid w:val="00EA1383"/>
    <w:rsid w:val="00EA1838"/>
    <w:rsid w:val="00EA2D9F"/>
    <w:rsid w:val="00EA3825"/>
    <w:rsid w:val="00EA3B58"/>
    <w:rsid w:val="00EA40B3"/>
    <w:rsid w:val="00EA7267"/>
    <w:rsid w:val="00EA73F6"/>
    <w:rsid w:val="00EA7488"/>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417"/>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3C58"/>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50"/>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0C"/>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64684848">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AD4C-C73B-4DB6-87CF-285CD166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992</Words>
  <Characters>6015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2014-05-22T14:32:00Z</cp:lastPrinted>
  <dcterms:created xsi:type="dcterms:W3CDTF">2014-06-11T13:58:00Z</dcterms:created>
  <dcterms:modified xsi:type="dcterms:W3CDTF">2014-06-11T13:58:00Z</dcterms:modified>
</cp:coreProperties>
</file>