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0D3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AC0F96">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AC0F96">
        <w:rPr>
          <w:b/>
          <w:bCs/>
          <w:szCs w:val="28"/>
          <w:lang w:val="en-US"/>
        </w:rPr>
        <w:t>22</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A300C0" w:rsidRDefault="00A300C0"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1B11A6" w:rsidRPr="00E1121D" w:rsidRDefault="001B11A6" w:rsidP="005F410F">
      <w:pPr>
        <w:pStyle w:val="a6"/>
        <w:tabs>
          <w:tab w:val="left" w:pos="142"/>
          <w:tab w:val="left" w:pos="709"/>
          <w:tab w:val="left" w:pos="2800"/>
          <w:tab w:val="left" w:pos="7700"/>
        </w:tabs>
        <w:ind w:firstLine="709"/>
        <w:jc w:val="left"/>
        <w:rPr>
          <w:b/>
          <w:i w:val="0"/>
          <w:u w:val="single"/>
        </w:rPr>
      </w:pPr>
    </w:p>
    <w:p w:rsidR="00656237" w:rsidRPr="00033709" w:rsidRDefault="00033709" w:rsidP="00656237">
      <w:pPr>
        <w:ind w:firstLine="708"/>
        <w:jc w:val="both"/>
        <w:rPr>
          <w:color w:val="000000"/>
          <w:szCs w:val="28"/>
          <w:lang w:val="en-US"/>
        </w:rPr>
      </w:pPr>
      <w:bookmarkStart w:id="0" w:name="_GoBack"/>
      <w:r>
        <w:rPr>
          <w:color w:val="000000"/>
          <w:szCs w:val="28"/>
          <w:lang w:val="en-US"/>
        </w:rPr>
        <w:t>….</w:t>
      </w:r>
    </w:p>
    <w:p w:rsidR="00656237" w:rsidRPr="00656237" w:rsidRDefault="00656237" w:rsidP="00656237">
      <w:pPr>
        <w:ind w:firstLine="708"/>
        <w:jc w:val="both"/>
        <w:rPr>
          <w:color w:val="000000"/>
          <w:szCs w:val="28"/>
        </w:rPr>
      </w:pPr>
    </w:p>
    <w:p w:rsidR="00656237" w:rsidRPr="00656237" w:rsidRDefault="00656237" w:rsidP="00485CCE">
      <w:pPr>
        <w:pStyle w:val="13"/>
        <w:numPr>
          <w:ilvl w:val="0"/>
          <w:numId w:val="7"/>
        </w:numPr>
        <w:tabs>
          <w:tab w:val="left" w:pos="709"/>
        </w:tabs>
        <w:suppressAutoHyphens/>
        <w:rPr>
          <w:szCs w:val="28"/>
        </w:rPr>
      </w:pPr>
      <w:r w:rsidRPr="00656237">
        <w:rPr>
          <w:szCs w:val="28"/>
        </w:rPr>
        <w:t>Подведение итогов закупки способом размещения оферты на право заключения договора (договоров) на аренду транспортных средств с экипажем для перевозки порожних и груженых контейнеров филиала ОАО «ТрансКонтейнер» на Горьковской  железной дороге в г. Казань (Республика Татарстан), прилегающих районах с момента подписания по 31 декабря 2016г.</w:t>
      </w:r>
    </w:p>
    <w:p w:rsidR="00656237" w:rsidRPr="00656237" w:rsidRDefault="00656237" w:rsidP="00656237">
      <w:pPr>
        <w:ind w:left="709"/>
        <w:jc w:val="both"/>
        <w:rPr>
          <w:szCs w:val="28"/>
        </w:rPr>
      </w:pPr>
      <w:r w:rsidRPr="00656237">
        <w:rPr>
          <w:szCs w:val="28"/>
        </w:rPr>
        <w:t>Докладчик: Токмачева Лариса Викторовна (НКПП)</w:t>
      </w:r>
    </w:p>
    <w:p w:rsidR="00656237" w:rsidRPr="00656237" w:rsidRDefault="00656237" w:rsidP="00656237">
      <w:pPr>
        <w:ind w:left="720"/>
        <w:jc w:val="both"/>
        <w:rPr>
          <w:szCs w:val="28"/>
          <w:shd w:val="clear" w:color="auto" w:fill="FFFFFF"/>
        </w:rPr>
      </w:pPr>
      <w:r w:rsidRPr="00656237">
        <w:rPr>
          <w:szCs w:val="28"/>
        </w:rPr>
        <w:t>Заявки в АСБК: Т10051972</w:t>
      </w:r>
    </w:p>
    <w:p w:rsidR="00656237" w:rsidRPr="00656237" w:rsidRDefault="00656237" w:rsidP="00656237">
      <w:pPr>
        <w:ind w:firstLine="708"/>
        <w:jc w:val="both"/>
        <w:rPr>
          <w:color w:val="000000"/>
          <w:szCs w:val="28"/>
        </w:rPr>
      </w:pPr>
      <w:r w:rsidRPr="00656237">
        <w:rPr>
          <w:szCs w:val="28"/>
        </w:rPr>
        <w:t>Конкурс: РО/002/ГОРЬК/0008</w:t>
      </w:r>
    </w:p>
    <w:p w:rsidR="00656237" w:rsidRPr="00656237" w:rsidRDefault="00656237" w:rsidP="00656237">
      <w:pPr>
        <w:jc w:val="both"/>
        <w:rPr>
          <w:szCs w:val="28"/>
        </w:rPr>
      </w:pPr>
    </w:p>
    <w:bookmarkEnd w:id="0"/>
    <w:p w:rsidR="0019190C" w:rsidRPr="00033709" w:rsidRDefault="00033709" w:rsidP="00DA17F0">
      <w:pPr>
        <w:ind w:firstLine="709"/>
        <w:jc w:val="both"/>
        <w:rPr>
          <w:szCs w:val="28"/>
          <w:lang w:val="en-US"/>
        </w:rPr>
      </w:pPr>
      <w:r>
        <w:rPr>
          <w:szCs w:val="28"/>
          <w:lang w:val="en-US"/>
        </w:rPr>
        <w:t>….</w:t>
      </w:r>
    </w:p>
    <w:p w:rsidR="00170BE8" w:rsidRPr="00E1121D" w:rsidRDefault="00170BE8" w:rsidP="00DA17F0">
      <w:pPr>
        <w:jc w:val="both"/>
        <w:rPr>
          <w:szCs w:val="28"/>
        </w:rPr>
      </w:pPr>
    </w:p>
    <w:p w:rsidR="00483EF5" w:rsidRPr="00E1121D" w:rsidRDefault="00483EF5" w:rsidP="00483EF5">
      <w:pPr>
        <w:pStyle w:val="ad"/>
        <w:ind w:left="0" w:firstLine="709"/>
        <w:jc w:val="both"/>
        <w:rPr>
          <w:b/>
          <w:szCs w:val="28"/>
        </w:rPr>
      </w:pPr>
      <w:r w:rsidRPr="00CC744E">
        <w:rPr>
          <w:b/>
          <w:szCs w:val="28"/>
        </w:rPr>
        <w:t xml:space="preserve">По пункту </w:t>
      </w:r>
      <w:r w:rsidRPr="00CC744E">
        <w:rPr>
          <w:b/>
          <w:szCs w:val="28"/>
          <w:lang w:val="en-US"/>
        </w:rPr>
        <w:t>II</w:t>
      </w:r>
      <w:r w:rsidRPr="00CC744E">
        <w:rPr>
          <w:b/>
          <w:szCs w:val="28"/>
        </w:rPr>
        <w:t xml:space="preserve"> повестки дня заседания:</w:t>
      </w:r>
      <w:r w:rsidRPr="00E1121D">
        <w:rPr>
          <w:b/>
          <w:szCs w:val="28"/>
        </w:rPr>
        <w:t xml:space="preserve"> </w:t>
      </w:r>
    </w:p>
    <w:p w:rsidR="00FB26F5" w:rsidRPr="00E1121D" w:rsidRDefault="00FB26F5" w:rsidP="00483EF5">
      <w:pPr>
        <w:rPr>
          <w:szCs w:val="28"/>
        </w:rPr>
      </w:pPr>
    </w:p>
    <w:p w:rsidR="006B2695" w:rsidRDefault="006B2695" w:rsidP="00485CCE">
      <w:pPr>
        <w:pStyle w:val="ad"/>
        <w:numPr>
          <w:ilvl w:val="0"/>
          <w:numId w:val="9"/>
        </w:numPr>
        <w:ind w:left="0" w:firstLine="851"/>
        <w:jc w:val="both"/>
        <w:rPr>
          <w:szCs w:val="28"/>
        </w:rPr>
      </w:pPr>
      <w:r w:rsidRPr="006B2695">
        <w:rPr>
          <w:szCs w:val="28"/>
        </w:rPr>
        <w:t xml:space="preserve">Согласиться с выводами и предложениями Постоянной рабочей группы Конкурсной комиссии филиала ОАО «ТрансКонтейнер» на </w:t>
      </w:r>
      <w:r w:rsidRPr="006B2695">
        <w:rPr>
          <w:szCs w:val="28"/>
        </w:rPr>
        <w:lastRenderedPageBreak/>
        <w:t xml:space="preserve">Горьковской железной дороге (Протокол № </w:t>
      </w:r>
      <w:r w:rsidR="004E390A">
        <w:rPr>
          <w:szCs w:val="28"/>
        </w:rPr>
        <w:t>7</w:t>
      </w:r>
      <w:r w:rsidRPr="006B2695">
        <w:rPr>
          <w:szCs w:val="28"/>
        </w:rPr>
        <w:t xml:space="preserve">/ПРГ заседания, состоявшегося 14 мая 2014 г.) в части принятия решения допустить к участию в закупке способом размещения оферты </w:t>
      </w:r>
      <w:r w:rsidR="004E390A">
        <w:rPr>
          <w:szCs w:val="28"/>
        </w:rPr>
        <w:t>ООО «КонтейнерСервис» и ООО «ОЗОН</w:t>
      </w:r>
      <w:r w:rsidR="004E390A" w:rsidRPr="00805318">
        <w:rPr>
          <w:szCs w:val="28"/>
        </w:rPr>
        <w:t xml:space="preserve">» </w:t>
      </w:r>
      <w:r w:rsidRPr="006B2695">
        <w:rPr>
          <w:color w:val="000000"/>
        </w:rPr>
        <w:t xml:space="preserve"> </w:t>
      </w:r>
      <w:r w:rsidRPr="006B2695">
        <w:rPr>
          <w:szCs w:val="28"/>
        </w:rPr>
        <w:t xml:space="preserve">и признать их участниками закупки способом размещения оферты. </w:t>
      </w:r>
    </w:p>
    <w:p w:rsidR="006B2695" w:rsidRPr="006B2695" w:rsidRDefault="006B2695" w:rsidP="00485CCE">
      <w:pPr>
        <w:pStyle w:val="ad"/>
        <w:numPr>
          <w:ilvl w:val="0"/>
          <w:numId w:val="9"/>
        </w:numPr>
        <w:ind w:left="0" w:firstLine="851"/>
        <w:jc w:val="both"/>
        <w:rPr>
          <w:szCs w:val="28"/>
        </w:rPr>
      </w:pPr>
      <w:r w:rsidRPr="006B2695">
        <w:rPr>
          <w:szCs w:val="28"/>
        </w:rPr>
        <w:t xml:space="preserve">Согласиться с выводами и предложениями Постоянной рабочей группы Конкурсной комиссии филиала ОАО «ТрансКонтейнер» на Горьковской железной дороге (Протокол № </w:t>
      </w:r>
      <w:r w:rsidR="004E390A">
        <w:rPr>
          <w:szCs w:val="28"/>
        </w:rPr>
        <w:t>7</w:t>
      </w:r>
      <w:r w:rsidRPr="006B2695">
        <w:rPr>
          <w:szCs w:val="28"/>
        </w:rPr>
        <w:t>/ПРГ заседания, состоявшегося 14 мая 2014 г.) в части принятия решения о заключении с участниками закупки способом размещения оферты договоров на следующих условиях:</w:t>
      </w:r>
    </w:p>
    <w:p w:rsidR="006B2695" w:rsidRDefault="006B2695" w:rsidP="006B2695">
      <w:pPr>
        <w:ind w:firstLine="709"/>
        <w:jc w:val="both"/>
      </w:pPr>
      <w:r w:rsidRPr="007E08B1">
        <w:rPr>
          <w:b/>
          <w:szCs w:val="28"/>
        </w:rPr>
        <w:t>Предмет договора:</w:t>
      </w:r>
      <w:r w:rsidRPr="007E08B1">
        <w:rPr>
          <w:szCs w:val="28"/>
        </w:rPr>
        <w:t xml:space="preserve"> </w:t>
      </w:r>
      <w:r w:rsidR="004E390A" w:rsidRPr="00C57DC4">
        <w:rPr>
          <w:bCs/>
        </w:rPr>
        <w:t xml:space="preserve">аренда транспортного средства с экипажем </w:t>
      </w:r>
      <w:r w:rsidR="00E37414" w:rsidRPr="00656237">
        <w:rPr>
          <w:szCs w:val="28"/>
        </w:rPr>
        <w:t>для перевозки груженых и порожних контейнеров</w:t>
      </w:r>
      <w:r w:rsidR="00E37414">
        <w:rPr>
          <w:szCs w:val="28"/>
        </w:rPr>
        <w:t xml:space="preserve"> </w:t>
      </w:r>
      <w:r w:rsidR="004E390A" w:rsidRPr="00C57DC4">
        <w:rPr>
          <w:bCs/>
        </w:rPr>
        <w:t xml:space="preserve">филиала </w:t>
      </w:r>
      <w:r w:rsidR="003B7BB5">
        <w:rPr>
          <w:bCs/>
        </w:rPr>
        <w:t xml:space="preserve">                                   </w:t>
      </w:r>
      <w:r w:rsidR="004E390A" w:rsidRPr="00C57DC4">
        <w:rPr>
          <w:bCs/>
        </w:rPr>
        <w:t>ОАО «ТрансКонтейнер» на Горьковской железной дороге в  г</w:t>
      </w:r>
      <w:proofErr w:type="gramStart"/>
      <w:r w:rsidR="004E390A" w:rsidRPr="00C57DC4">
        <w:rPr>
          <w:bCs/>
        </w:rPr>
        <w:t>.К</w:t>
      </w:r>
      <w:proofErr w:type="gramEnd"/>
      <w:r w:rsidR="004E390A" w:rsidRPr="00C57DC4">
        <w:rPr>
          <w:bCs/>
        </w:rPr>
        <w:t>азани (Республика Татарстан) и прилегающих районах</w:t>
      </w:r>
      <w:r w:rsidR="004E390A" w:rsidRPr="00C57DC4">
        <w:t>.</w:t>
      </w:r>
    </w:p>
    <w:p w:rsidR="006B2695" w:rsidRDefault="006B2695" w:rsidP="006B2695">
      <w:pPr>
        <w:ind w:firstLine="709"/>
        <w:jc w:val="both"/>
      </w:pPr>
      <w:r w:rsidRPr="007E08B1">
        <w:rPr>
          <w:b/>
          <w:color w:val="000000"/>
        </w:rPr>
        <w:t xml:space="preserve">Максимальная (совокупная) цена договора </w:t>
      </w:r>
      <w:r w:rsidRPr="007E08B1">
        <w:rPr>
          <w:b/>
        </w:rPr>
        <w:t>(договоров), заключаемых по итогам процедуры Размещения оферты</w:t>
      </w:r>
      <w:r w:rsidRPr="007E08B1">
        <w:rPr>
          <w:b/>
          <w:color w:val="000000"/>
        </w:rPr>
        <w:t xml:space="preserve"> составляет:</w:t>
      </w:r>
      <w:r w:rsidRPr="007E08B1">
        <w:rPr>
          <w:color w:val="000000"/>
        </w:rPr>
        <w:t xml:space="preserve"> </w:t>
      </w:r>
      <w:r w:rsidR="004E390A">
        <w:rPr>
          <w:szCs w:val="28"/>
        </w:rPr>
        <w:t>117 164 384,00</w:t>
      </w:r>
      <w:r w:rsidR="004E390A" w:rsidRPr="00957F10">
        <w:rPr>
          <w:szCs w:val="28"/>
        </w:rPr>
        <w:t xml:space="preserve"> руб. (</w:t>
      </w:r>
      <w:r w:rsidR="004E390A">
        <w:rPr>
          <w:szCs w:val="28"/>
        </w:rPr>
        <w:t xml:space="preserve">сто семнадцать </w:t>
      </w:r>
      <w:r w:rsidR="004E390A" w:rsidRPr="00957F10">
        <w:rPr>
          <w:szCs w:val="28"/>
        </w:rPr>
        <w:t>миллион</w:t>
      </w:r>
      <w:r w:rsidR="004E390A">
        <w:rPr>
          <w:szCs w:val="28"/>
        </w:rPr>
        <w:t>ов сто шестьдесят четыре тысяч</w:t>
      </w:r>
      <w:r w:rsidR="0032260F">
        <w:rPr>
          <w:szCs w:val="28"/>
        </w:rPr>
        <w:t>и триста восемьдесят четыре</w:t>
      </w:r>
      <w:r w:rsidR="004E390A" w:rsidRPr="00957F10">
        <w:rPr>
          <w:szCs w:val="28"/>
        </w:rPr>
        <w:t>) рубл</w:t>
      </w:r>
      <w:r w:rsidR="004E390A">
        <w:rPr>
          <w:szCs w:val="28"/>
        </w:rPr>
        <w:t>ей</w:t>
      </w:r>
      <w:r w:rsidR="004E390A" w:rsidRPr="00457A40">
        <w:rPr>
          <w:color w:val="000000"/>
        </w:rPr>
        <w:t xml:space="preserve"> с учетом всех налогов (кроме НДС)</w:t>
      </w:r>
      <w:r w:rsidR="00B4504E">
        <w:rPr>
          <w:color w:val="000000"/>
        </w:rPr>
        <w:t xml:space="preserve"> и расходов поставщика.</w:t>
      </w:r>
    </w:p>
    <w:p w:rsidR="006B2695" w:rsidRDefault="006B2695" w:rsidP="006B2695">
      <w:pPr>
        <w:ind w:firstLine="709"/>
        <w:jc w:val="both"/>
      </w:pPr>
      <w:r w:rsidRPr="007E08B1">
        <w:rPr>
          <w:b/>
        </w:rPr>
        <w:t xml:space="preserve">Стоимость оказываемых услуг: </w:t>
      </w:r>
      <w:r>
        <w:t xml:space="preserve">приведена в </w:t>
      </w:r>
      <w:r w:rsidRPr="00B4504E">
        <w:t xml:space="preserve">Приложении № </w:t>
      </w:r>
      <w:r w:rsidR="00B539D1" w:rsidRPr="00B4504E">
        <w:t>2</w:t>
      </w:r>
      <w:r>
        <w:t xml:space="preserve"> к настоящему Протоколу.</w:t>
      </w:r>
    </w:p>
    <w:p w:rsidR="006B2695" w:rsidRPr="007E08B1" w:rsidRDefault="006B2695" w:rsidP="006B2695">
      <w:pPr>
        <w:ind w:firstLine="709"/>
        <w:jc w:val="both"/>
        <w:rPr>
          <w:rFonts w:eastAsia="MS Mincho"/>
        </w:rPr>
      </w:pPr>
      <w:r w:rsidRPr="007E08B1">
        <w:rPr>
          <w:rFonts w:eastAsia="MS Mincho"/>
        </w:rPr>
        <w:t>Цена по договору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r>
        <w:rPr>
          <w:rFonts w:eastAsia="MS Mincho"/>
        </w:rPr>
        <w:t xml:space="preserve"> </w:t>
      </w:r>
      <w:r w:rsidRPr="007E08B1">
        <w:rPr>
          <w:rFonts w:eastAsia="MS Mincho"/>
        </w:rPr>
        <w:t>договор заключен на срок более 12 месяцев;</w:t>
      </w:r>
      <w:r>
        <w:rPr>
          <w:rFonts w:eastAsia="MS Mincho"/>
        </w:rPr>
        <w:t xml:space="preserve"> </w:t>
      </w:r>
      <w:r w:rsidRPr="007E08B1">
        <w:rPr>
          <w:rFonts w:eastAsia="MS Mincho"/>
        </w:rPr>
        <w:t>увеличение цены на работы, услуги возможно не ранее, чем через 6 месяцев с даты заключения договора и не чаще одного раза в течение года;</w:t>
      </w:r>
      <w:r>
        <w:rPr>
          <w:rFonts w:eastAsia="MS Mincho"/>
        </w:rPr>
        <w:t xml:space="preserve"> </w:t>
      </w:r>
      <w:r w:rsidRPr="00BA10B5">
        <w:t>арендная плата не может быть увеличена более чем на 10% (десять процентов) в год от первоначально согласованной</w:t>
      </w:r>
      <w:r>
        <w:t>.</w:t>
      </w:r>
    </w:p>
    <w:p w:rsidR="006B2695" w:rsidRDefault="006B2695" w:rsidP="006B2695">
      <w:pPr>
        <w:pStyle w:val="13"/>
        <w:tabs>
          <w:tab w:val="left" w:pos="993"/>
        </w:tabs>
        <w:suppressAutoHyphens/>
        <w:ind w:firstLine="709"/>
        <w:rPr>
          <w:szCs w:val="28"/>
        </w:rPr>
      </w:pPr>
      <w:r w:rsidRPr="00605B3A">
        <w:rPr>
          <w:b/>
          <w:szCs w:val="28"/>
        </w:rPr>
        <w:t xml:space="preserve">Сроки </w:t>
      </w:r>
      <w:r>
        <w:rPr>
          <w:b/>
          <w:szCs w:val="28"/>
        </w:rPr>
        <w:t>оказания услуг</w:t>
      </w:r>
      <w:r w:rsidRPr="00605B3A">
        <w:rPr>
          <w:b/>
          <w:szCs w:val="28"/>
        </w:rPr>
        <w:t>:</w:t>
      </w:r>
      <w:r>
        <w:rPr>
          <w:b/>
          <w:szCs w:val="28"/>
        </w:rPr>
        <w:t xml:space="preserve"> </w:t>
      </w:r>
      <w:r w:rsidRPr="00DE1F40">
        <w:rPr>
          <w:szCs w:val="28"/>
        </w:rPr>
        <w:t xml:space="preserve">с момента подписания </w:t>
      </w:r>
      <w:r>
        <w:rPr>
          <w:szCs w:val="28"/>
        </w:rPr>
        <w:t xml:space="preserve">договора </w:t>
      </w:r>
      <w:r w:rsidRPr="00DE1F40">
        <w:rPr>
          <w:szCs w:val="28"/>
        </w:rPr>
        <w:t>по 31 декабря 2016г.</w:t>
      </w:r>
    </w:p>
    <w:p w:rsidR="006B2695" w:rsidRPr="007E08B1" w:rsidRDefault="006B2695" w:rsidP="006B2695">
      <w:pPr>
        <w:suppressAutoHyphens/>
        <w:ind w:firstLine="709"/>
        <w:jc w:val="both"/>
      </w:pPr>
      <w:r w:rsidRPr="007E08B1">
        <w:rPr>
          <w:b/>
          <w:iCs/>
          <w:szCs w:val="28"/>
        </w:rPr>
        <w:t xml:space="preserve">Форма и порядок оплаты: </w:t>
      </w:r>
      <w:r w:rsidRPr="002C4C4A">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6B2695" w:rsidRPr="007E08B1" w:rsidRDefault="006B2695" w:rsidP="006B2695">
      <w:pPr>
        <w:ind w:firstLine="709"/>
        <w:jc w:val="both"/>
        <w:rPr>
          <w:color w:val="000000"/>
          <w:lang w:eastAsia="ar-SA"/>
        </w:rPr>
      </w:pPr>
      <w:r w:rsidRPr="007E08B1">
        <w:rPr>
          <w:b/>
          <w:iCs/>
          <w:szCs w:val="28"/>
        </w:rPr>
        <w:t xml:space="preserve">Место оказания услуг: </w:t>
      </w:r>
      <w:r w:rsidR="004E390A" w:rsidRPr="00DE1F40">
        <w:rPr>
          <w:szCs w:val="28"/>
        </w:rPr>
        <w:t xml:space="preserve">г. </w:t>
      </w:r>
      <w:r w:rsidR="004E390A">
        <w:rPr>
          <w:szCs w:val="28"/>
        </w:rPr>
        <w:t>Казань и</w:t>
      </w:r>
      <w:r w:rsidR="004E390A" w:rsidRPr="00DE1F40">
        <w:rPr>
          <w:szCs w:val="28"/>
        </w:rPr>
        <w:t xml:space="preserve"> прилегающи</w:t>
      </w:r>
      <w:r w:rsidR="004E390A">
        <w:rPr>
          <w:szCs w:val="28"/>
        </w:rPr>
        <w:t>е</w:t>
      </w:r>
      <w:r w:rsidR="004E390A" w:rsidRPr="00DE1F40">
        <w:rPr>
          <w:szCs w:val="28"/>
        </w:rPr>
        <w:t xml:space="preserve"> район</w:t>
      </w:r>
      <w:r w:rsidR="004E390A">
        <w:rPr>
          <w:szCs w:val="28"/>
        </w:rPr>
        <w:t>ы.</w:t>
      </w:r>
    </w:p>
    <w:p w:rsidR="00E37414" w:rsidRPr="004B059B" w:rsidRDefault="006B2695" w:rsidP="00E37414">
      <w:pPr>
        <w:pStyle w:val="Default"/>
        <w:ind w:firstLine="709"/>
        <w:jc w:val="both"/>
        <w:rPr>
          <w:color w:val="00000A"/>
          <w:sz w:val="28"/>
          <w:szCs w:val="28"/>
        </w:rPr>
      </w:pPr>
      <w:r w:rsidRPr="007E08B1">
        <w:rPr>
          <w:b/>
          <w:sz w:val="28"/>
          <w:szCs w:val="28"/>
          <w:lang w:eastAsia="ar-SA"/>
        </w:rPr>
        <w:t>Иные условия:</w:t>
      </w:r>
      <w:r w:rsidRPr="007E08B1">
        <w:rPr>
          <w:sz w:val="28"/>
          <w:szCs w:val="28"/>
          <w:lang w:eastAsia="ar-SA"/>
        </w:rPr>
        <w:t xml:space="preserve"> </w:t>
      </w:r>
      <w:r w:rsidR="00E37414" w:rsidRPr="007E08B1">
        <w:rPr>
          <w:sz w:val="28"/>
          <w:szCs w:val="28"/>
          <w:lang w:eastAsia="ar-SA"/>
        </w:rPr>
        <w:t>Стороны вправе согласовать в случае необходимости</w:t>
      </w:r>
      <w:r w:rsidR="00E37414">
        <w:rPr>
          <w:sz w:val="28"/>
          <w:szCs w:val="28"/>
          <w:lang w:eastAsia="ar-SA"/>
        </w:rPr>
        <w:t xml:space="preserve"> внесения</w:t>
      </w:r>
      <w:r w:rsidR="00E37414" w:rsidRPr="007E08B1">
        <w:rPr>
          <w:sz w:val="28"/>
          <w:szCs w:val="28"/>
          <w:lang w:eastAsia="ar-SA"/>
        </w:rPr>
        <w:t xml:space="preserve"> </w:t>
      </w:r>
      <w:r w:rsidR="00E37414">
        <w:rPr>
          <w:sz w:val="28"/>
          <w:szCs w:val="28"/>
          <w:lang w:eastAsia="ar-SA"/>
        </w:rPr>
        <w:t>изменений</w:t>
      </w:r>
      <w:r w:rsidR="00E37414" w:rsidRPr="007E08B1">
        <w:rPr>
          <w:sz w:val="28"/>
          <w:szCs w:val="28"/>
          <w:lang w:eastAsia="ar-SA"/>
        </w:rPr>
        <w:t xml:space="preserve"> в </w:t>
      </w:r>
      <w:r w:rsidR="00E37414" w:rsidRPr="004B059B">
        <w:rPr>
          <w:sz w:val="28"/>
          <w:szCs w:val="28"/>
          <w:lang w:eastAsia="ar-SA"/>
        </w:rPr>
        <w:t xml:space="preserve">договор </w:t>
      </w:r>
      <w:r w:rsidR="00E37414">
        <w:rPr>
          <w:sz w:val="28"/>
          <w:szCs w:val="28"/>
          <w:lang w:eastAsia="ar-SA"/>
        </w:rPr>
        <w:t>(</w:t>
      </w:r>
      <w:r w:rsidR="00E37414" w:rsidRPr="007E08B1">
        <w:rPr>
          <w:sz w:val="28"/>
          <w:szCs w:val="28"/>
          <w:lang w:eastAsia="ar-SA"/>
        </w:rPr>
        <w:t>дополнительн</w:t>
      </w:r>
      <w:r w:rsidR="00E37414">
        <w:rPr>
          <w:sz w:val="28"/>
          <w:szCs w:val="28"/>
          <w:lang w:eastAsia="ar-SA"/>
        </w:rPr>
        <w:t>ая</w:t>
      </w:r>
      <w:r w:rsidR="00E37414" w:rsidRPr="007E08B1">
        <w:rPr>
          <w:sz w:val="28"/>
          <w:szCs w:val="28"/>
          <w:lang w:eastAsia="ar-SA"/>
        </w:rPr>
        <w:t xml:space="preserve"> зон</w:t>
      </w:r>
      <w:r w:rsidR="00E37414">
        <w:rPr>
          <w:sz w:val="28"/>
          <w:szCs w:val="28"/>
          <w:lang w:eastAsia="ar-SA"/>
        </w:rPr>
        <w:t>а</w:t>
      </w:r>
      <w:r w:rsidR="00E37414" w:rsidRPr="007E08B1">
        <w:rPr>
          <w:sz w:val="28"/>
          <w:szCs w:val="28"/>
          <w:lang w:eastAsia="ar-SA"/>
        </w:rPr>
        <w:t>, маршрут, расстояни</w:t>
      </w:r>
      <w:r w:rsidR="00E37414">
        <w:rPr>
          <w:sz w:val="28"/>
          <w:szCs w:val="28"/>
          <w:lang w:eastAsia="ar-SA"/>
        </w:rPr>
        <w:t>е</w:t>
      </w:r>
      <w:r w:rsidR="00E37414" w:rsidRPr="007E08B1">
        <w:rPr>
          <w:sz w:val="28"/>
          <w:szCs w:val="28"/>
          <w:lang w:eastAsia="ar-SA"/>
        </w:rPr>
        <w:t>, временно</w:t>
      </w:r>
      <w:r w:rsidR="00E37414">
        <w:rPr>
          <w:sz w:val="28"/>
          <w:szCs w:val="28"/>
          <w:lang w:eastAsia="ar-SA"/>
        </w:rPr>
        <w:t>й</w:t>
      </w:r>
      <w:r w:rsidR="00E37414" w:rsidRPr="007E08B1">
        <w:rPr>
          <w:sz w:val="28"/>
          <w:szCs w:val="28"/>
          <w:lang w:eastAsia="ar-SA"/>
        </w:rPr>
        <w:t xml:space="preserve"> диапазон, изменени</w:t>
      </w:r>
      <w:r w:rsidR="00E37414">
        <w:rPr>
          <w:sz w:val="28"/>
          <w:szCs w:val="28"/>
          <w:lang w:eastAsia="ar-SA"/>
        </w:rPr>
        <w:t>е</w:t>
      </w:r>
      <w:r w:rsidR="00E37414" w:rsidRPr="007E08B1">
        <w:rPr>
          <w:sz w:val="28"/>
          <w:szCs w:val="28"/>
          <w:lang w:eastAsia="ar-SA"/>
        </w:rPr>
        <w:t xml:space="preserve"> перечня водителей и др.</w:t>
      </w:r>
      <w:r w:rsidR="00E37414">
        <w:rPr>
          <w:sz w:val="28"/>
          <w:szCs w:val="28"/>
          <w:lang w:eastAsia="ar-SA"/>
        </w:rPr>
        <w:t>)</w:t>
      </w:r>
      <w:r w:rsidR="00E37414" w:rsidRPr="007E08B1">
        <w:rPr>
          <w:sz w:val="28"/>
          <w:szCs w:val="28"/>
          <w:lang w:eastAsia="ar-SA"/>
        </w:rPr>
        <w:t xml:space="preserve"> </w:t>
      </w:r>
      <w:r w:rsidR="00E37414">
        <w:rPr>
          <w:sz w:val="28"/>
          <w:szCs w:val="28"/>
          <w:lang w:eastAsia="ar-SA"/>
        </w:rPr>
        <w:t>п</w:t>
      </w:r>
      <w:r w:rsidR="00E37414" w:rsidRPr="004B059B">
        <w:rPr>
          <w:sz w:val="28"/>
          <w:szCs w:val="28"/>
          <w:lang w:eastAsia="ar-SA"/>
        </w:rPr>
        <w:t>одписани</w:t>
      </w:r>
      <w:r w:rsidR="00E37414">
        <w:rPr>
          <w:sz w:val="28"/>
          <w:szCs w:val="28"/>
          <w:lang w:eastAsia="ar-SA"/>
        </w:rPr>
        <w:t>е</w:t>
      </w:r>
      <w:r w:rsidR="00E37414" w:rsidRPr="004B059B">
        <w:rPr>
          <w:sz w:val="28"/>
          <w:szCs w:val="28"/>
          <w:lang w:eastAsia="ar-SA"/>
        </w:rPr>
        <w:t xml:space="preserve"> дополнительного соглашения к договору </w:t>
      </w:r>
      <w:r w:rsidR="00E37414">
        <w:rPr>
          <w:sz w:val="28"/>
          <w:szCs w:val="28"/>
          <w:lang w:eastAsia="ar-SA"/>
        </w:rPr>
        <w:t xml:space="preserve">без </w:t>
      </w:r>
      <w:r w:rsidR="00E37414" w:rsidRPr="004B059B">
        <w:rPr>
          <w:sz w:val="28"/>
          <w:szCs w:val="28"/>
          <w:lang w:eastAsia="ar-SA"/>
        </w:rPr>
        <w:t>проведени</w:t>
      </w:r>
      <w:r w:rsidR="00E37414">
        <w:rPr>
          <w:sz w:val="28"/>
          <w:szCs w:val="28"/>
          <w:lang w:eastAsia="ar-SA"/>
        </w:rPr>
        <w:t>я</w:t>
      </w:r>
      <w:r w:rsidR="00E37414" w:rsidRPr="004B059B">
        <w:rPr>
          <w:sz w:val="28"/>
          <w:szCs w:val="28"/>
          <w:lang w:eastAsia="ar-SA"/>
        </w:rPr>
        <w:t xml:space="preserve"> </w:t>
      </w:r>
      <w:r w:rsidR="00E37414">
        <w:rPr>
          <w:sz w:val="28"/>
          <w:szCs w:val="28"/>
          <w:lang w:eastAsia="ar-SA"/>
        </w:rPr>
        <w:t xml:space="preserve"> </w:t>
      </w:r>
      <w:r w:rsidR="00E37414" w:rsidRPr="004B059B">
        <w:rPr>
          <w:sz w:val="28"/>
          <w:szCs w:val="28"/>
          <w:lang w:eastAsia="ar-SA"/>
        </w:rPr>
        <w:t>конкурсных процедур.</w:t>
      </w:r>
    </w:p>
    <w:p w:rsidR="006B2695" w:rsidRPr="0020307D" w:rsidRDefault="004E390A" w:rsidP="006B2695">
      <w:pPr>
        <w:pStyle w:val="Default"/>
        <w:ind w:firstLine="709"/>
        <w:jc w:val="both"/>
        <w:rPr>
          <w:color w:val="00000A"/>
          <w:sz w:val="28"/>
          <w:szCs w:val="28"/>
        </w:rPr>
      </w:pPr>
      <w:r w:rsidRPr="0020307D">
        <w:rPr>
          <w:sz w:val="28"/>
          <w:szCs w:val="28"/>
          <w:lang w:eastAsia="ar-SA"/>
        </w:rPr>
        <w:t>3</w:t>
      </w:r>
      <w:r w:rsidR="006B2695" w:rsidRPr="0020307D">
        <w:rPr>
          <w:sz w:val="28"/>
          <w:szCs w:val="28"/>
          <w:lang w:eastAsia="ar-SA"/>
        </w:rPr>
        <w:t xml:space="preserve">. </w:t>
      </w:r>
      <w:r w:rsidR="006B2695" w:rsidRPr="0020307D">
        <w:rPr>
          <w:sz w:val="28"/>
          <w:szCs w:val="28"/>
        </w:rPr>
        <w:t xml:space="preserve">Поручить заместителю директора филиала                             </w:t>
      </w:r>
      <w:r w:rsidR="0020307D" w:rsidRPr="0020307D">
        <w:rPr>
          <w:sz w:val="28"/>
          <w:szCs w:val="28"/>
        </w:rPr>
        <w:t xml:space="preserve">       </w:t>
      </w:r>
      <w:r w:rsidR="006B2695" w:rsidRPr="0020307D">
        <w:rPr>
          <w:sz w:val="28"/>
          <w:szCs w:val="28"/>
        </w:rPr>
        <w:t xml:space="preserve">       ОАО «ТрансКонтейнер» на Горьковской железной дороге Кирпичникову А.А.</w:t>
      </w:r>
      <w:r w:rsidR="006B2695" w:rsidRPr="0020307D">
        <w:rPr>
          <w:bCs/>
          <w:sz w:val="28"/>
          <w:szCs w:val="28"/>
        </w:rPr>
        <w:t>:</w:t>
      </w:r>
    </w:p>
    <w:p w:rsidR="006B2695" w:rsidRPr="0020307D" w:rsidRDefault="004E390A" w:rsidP="006B2695">
      <w:pPr>
        <w:pStyle w:val="Default"/>
        <w:ind w:firstLine="709"/>
        <w:jc w:val="both"/>
        <w:rPr>
          <w:sz w:val="28"/>
          <w:szCs w:val="28"/>
        </w:rPr>
      </w:pPr>
      <w:r w:rsidRPr="0020307D">
        <w:rPr>
          <w:sz w:val="28"/>
          <w:szCs w:val="28"/>
        </w:rPr>
        <w:t>3</w:t>
      </w:r>
      <w:r w:rsidR="006B2695" w:rsidRPr="0020307D">
        <w:rPr>
          <w:sz w:val="28"/>
          <w:szCs w:val="28"/>
        </w:rPr>
        <w:t xml:space="preserve">.1 направить уведомление </w:t>
      </w:r>
      <w:r w:rsidR="0020307D" w:rsidRPr="0020307D">
        <w:rPr>
          <w:sz w:val="28"/>
          <w:szCs w:val="28"/>
        </w:rPr>
        <w:t>ООО «КонтейнерСервис» и ООО «ОЗОН»</w:t>
      </w:r>
      <w:r w:rsidR="006B2695" w:rsidRPr="0020307D">
        <w:rPr>
          <w:sz w:val="28"/>
          <w:szCs w:val="28"/>
        </w:rPr>
        <w:t xml:space="preserve"> о принятом Конкурсной комиссией ОАО «ТрансКонтейнер» решении с приглашением заключить договор;</w:t>
      </w:r>
    </w:p>
    <w:p w:rsidR="006B2695" w:rsidRPr="0020307D" w:rsidRDefault="004E390A" w:rsidP="006B2695">
      <w:pPr>
        <w:ind w:firstLine="708"/>
        <w:jc w:val="both"/>
        <w:rPr>
          <w:szCs w:val="28"/>
        </w:rPr>
      </w:pPr>
      <w:r w:rsidRPr="0020307D">
        <w:rPr>
          <w:szCs w:val="28"/>
        </w:rPr>
        <w:lastRenderedPageBreak/>
        <w:t>3</w:t>
      </w:r>
      <w:r w:rsidR="006B2695" w:rsidRPr="0020307D">
        <w:rPr>
          <w:szCs w:val="28"/>
        </w:rPr>
        <w:t xml:space="preserve">.2 обеспечить установленным порядком заключение договоров с  </w:t>
      </w:r>
      <w:r w:rsidR="006B2695" w:rsidRPr="0020307D">
        <w:rPr>
          <w:szCs w:val="28"/>
        </w:rPr>
        <w:br/>
      </w:r>
      <w:r w:rsidR="0020307D" w:rsidRPr="0020307D">
        <w:rPr>
          <w:szCs w:val="28"/>
        </w:rPr>
        <w:t>ООО «КонтейнерСервис» и ООО «ОЗОН».</w:t>
      </w:r>
    </w:p>
    <w:p w:rsidR="00D75CF4" w:rsidRDefault="00D75CF4" w:rsidP="00483EF5">
      <w:pPr>
        <w:rPr>
          <w:szCs w:val="28"/>
        </w:rPr>
      </w:pPr>
    </w:p>
    <w:p w:rsidR="0030649E" w:rsidRPr="00E1121D" w:rsidRDefault="0030649E" w:rsidP="00483EF5">
      <w:pPr>
        <w:rPr>
          <w:szCs w:val="28"/>
        </w:rPr>
      </w:pPr>
    </w:p>
    <w:p w:rsidR="00920288" w:rsidRPr="00C13443" w:rsidRDefault="00033709" w:rsidP="002523F5">
      <w:pPr>
        <w:ind w:firstLine="708"/>
        <w:jc w:val="both"/>
        <w:rPr>
          <w:szCs w:val="28"/>
          <w:lang w:val="en-US"/>
        </w:rPr>
      </w:pPr>
      <w:r>
        <w:rPr>
          <w:szCs w:val="28"/>
          <w:lang w:val="en-US"/>
        </w:rPr>
        <w:t>....</w:t>
      </w:r>
    </w:p>
    <w:tbl>
      <w:tblPr>
        <w:tblStyle w:val="a8"/>
        <w:tblpPr w:leftFromText="180" w:rightFromText="180" w:vertAnchor="text" w:horzAnchor="margin" w:tblpY="12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20288" w:rsidRPr="004679A3" w:rsidTr="00920288">
        <w:trPr>
          <w:trHeight w:val="903"/>
        </w:trPr>
        <w:tc>
          <w:tcPr>
            <w:tcW w:w="5778" w:type="dxa"/>
          </w:tcPr>
          <w:p w:rsidR="00920288" w:rsidRPr="004679A3" w:rsidRDefault="00920288" w:rsidP="00920288">
            <w:pPr>
              <w:pStyle w:val="a6"/>
              <w:tabs>
                <w:tab w:val="left" w:pos="0"/>
              </w:tabs>
              <w:rPr>
                <w:i w:val="0"/>
              </w:rPr>
            </w:pPr>
            <w:r>
              <w:rPr>
                <w:i w:val="0"/>
              </w:rPr>
              <w:t>Заместитель Пр</w:t>
            </w:r>
            <w:r w:rsidRPr="004679A3">
              <w:rPr>
                <w:i w:val="0"/>
              </w:rPr>
              <w:t>едседател</w:t>
            </w:r>
            <w:r>
              <w:rPr>
                <w:i w:val="0"/>
              </w:rPr>
              <w:t>я</w:t>
            </w:r>
          </w:p>
          <w:p w:rsidR="00920288" w:rsidRPr="004679A3" w:rsidRDefault="00920288" w:rsidP="00920288">
            <w:pPr>
              <w:pStyle w:val="a6"/>
              <w:tabs>
                <w:tab w:val="left" w:pos="0"/>
              </w:tabs>
              <w:rPr>
                <w:i w:val="0"/>
              </w:rPr>
            </w:pPr>
            <w:r w:rsidRPr="004679A3">
              <w:rPr>
                <w:i w:val="0"/>
              </w:rPr>
              <w:t xml:space="preserve">Конкурсной комиссии                                                               </w:t>
            </w:r>
          </w:p>
          <w:p w:rsidR="00920288" w:rsidRPr="004679A3" w:rsidRDefault="00920288" w:rsidP="00920288">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920288" w:rsidRPr="004679A3" w:rsidRDefault="00920288" w:rsidP="00920288">
            <w:pPr>
              <w:jc w:val="right"/>
              <w:rPr>
                <w:szCs w:val="28"/>
              </w:rPr>
            </w:pPr>
          </w:p>
          <w:p w:rsidR="00920288" w:rsidRPr="004679A3" w:rsidRDefault="00920288" w:rsidP="00C13443">
            <w:pPr>
              <w:jc w:val="right"/>
              <w:rPr>
                <w:szCs w:val="28"/>
              </w:rPr>
            </w:pPr>
          </w:p>
        </w:tc>
      </w:tr>
      <w:tr w:rsidR="00920288" w:rsidRPr="004679A3" w:rsidTr="00920288">
        <w:tc>
          <w:tcPr>
            <w:tcW w:w="5778" w:type="dxa"/>
          </w:tcPr>
          <w:p w:rsidR="00920288" w:rsidRPr="004679A3" w:rsidRDefault="00920288" w:rsidP="00920288">
            <w:pPr>
              <w:jc w:val="both"/>
              <w:rPr>
                <w:szCs w:val="28"/>
              </w:rPr>
            </w:pPr>
          </w:p>
          <w:p w:rsidR="00920288" w:rsidRDefault="00920288" w:rsidP="0092028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20288" w:rsidRDefault="00920288" w:rsidP="00920288">
            <w:pPr>
              <w:pStyle w:val="a6"/>
              <w:tabs>
                <w:tab w:val="left" w:pos="0"/>
              </w:tabs>
              <w:rPr>
                <w:i w:val="0"/>
              </w:rPr>
            </w:pPr>
          </w:p>
          <w:p w:rsidR="00920288" w:rsidRDefault="00920288" w:rsidP="00C13443">
            <w:pPr>
              <w:pStyle w:val="a6"/>
              <w:tabs>
                <w:tab w:val="left" w:pos="0"/>
              </w:tabs>
            </w:pPr>
            <w:r w:rsidRPr="005171A4">
              <w:rPr>
                <w:i w:val="0"/>
              </w:rPr>
              <w:t>«</w:t>
            </w:r>
            <w:r w:rsidR="00C13443">
              <w:rPr>
                <w:i w:val="0"/>
                <w:lang w:val="en-US"/>
              </w:rPr>
              <w:t>11</w:t>
            </w:r>
            <w:r w:rsidRPr="005171A4">
              <w:rPr>
                <w:i w:val="0"/>
              </w:rPr>
              <w:t>»</w:t>
            </w:r>
            <w:r w:rsidRPr="00CF45A9">
              <w:rPr>
                <w:i w:val="0"/>
              </w:rPr>
              <w:t xml:space="preserve"> </w:t>
            </w:r>
            <w:r w:rsidR="003B7BB5">
              <w:rPr>
                <w:i w:val="0"/>
              </w:rPr>
              <w:t xml:space="preserve">июня </w:t>
            </w:r>
            <w:r w:rsidRPr="00CF45A9">
              <w:rPr>
                <w:i w:val="0"/>
              </w:rPr>
              <w:t>201</w:t>
            </w:r>
            <w:r>
              <w:rPr>
                <w:i w:val="0"/>
              </w:rPr>
              <w:t>4</w:t>
            </w:r>
            <w:r w:rsidRPr="00CF45A9">
              <w:rPr>
                <w:i w:val="0"/>
              </w:rPr>
              <w:t xml:space="preserve"> год</w:t>
            </w:r>
          </w:p>
        </w:tc>
        <w:tc>
          <w:tcPr>
            <w:tcW w:w="4111" w:type="dxa"/>
          </w:tcPr>
          <w:p w:rsidR="00920288" w:rsidRPr="004679A3" w:rsidRDefault="00920288" w:rsidP="00920288">
            <w:pPr>
              <w:jc w:val="right"/>
              <w:rPr>
                <w:szCs w:val="28"/>
              </w:rPr>
            </w:pPr>
          </w:p>
          <w:p w:rsidR="00920288" w:rsidRPr="004679A3" w:rsidRDefault="00920288" w:rsidP="00920288">
            <w:pPr>
              <w:jc w:val="right"/>
              <w:rPr>
                <w:szCs w:val="28"/>
              </w:rPr>
            </w:pPr>
          </w:p>
        </w:tc>
      </w:tr>
    </w:tbl>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Pr="00483EF5" w:rsidRDefault="00920288" w:rsidP="002523F5">
      <w:pPr>
        <w:ind w:firstLine="708"/>
        <w:jc w:val="both"/>
        <w:rPr>
          <w:szCs w:val="28"/>
        </w:rPr>
        <w:sectPr w:rsidR="00920288" w:rsidRPr="00483EF5" w:rsidSect="00A179B6">
          <w:headerReference w:type="default" r:id="rId9"/>
          <w:pgSz w:w="11906" w:h="16838"/>
          <w:pgMar w:top="1135" w:right="851" w:bottom="993" w:left="1418" w:header="567" w:footer="0" w:gutter="0"/>
          <w:cols w:space="708"/>
          <w:titlePg/>
          <w:docGrid w:linePitch="381"/>
        </w:sectPr>
      </w:pPr>
    </w:p>
    <w:p w:rsidR="0032260F" w:rsidRPr="00D02697" w:rsidRDefault="0032260F" w:rsidP="0032260F">
      <w:pPr>
        <w:jc w:val="right"/>
        <w:rPr>
          <w:sz w:val="22"/>
          <w:szCs w:val="22"/>
        </w:rPr>
      </w:pPr>
      <w:r>
        <w:rPr>
          <w:sz w:val="22"/>
          <w:szCs w:val="22"/>
        </w:rPr>
        <w:lastRenderedPageBreak/>
        <w:t>Приложение № 2</w:t>
      </w:r>
      <w:r w:rsidRPr="00D5177E">
        <w:rPr>
          <w:sz w:val="22"/>
          <w:szCs w:val="22"/>
        </w:rPr>
        <w:t xml:space="preserve"> </w:t>
      </w:r>
    </w:p>
    <w:p w:rsidR="0032260F" w:rsidRPr="00D02697" w:rsidRDefault="0032260F" w:rsidP="0032260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w:t>
      </w:r>
      <w:r w:rsidRPr="0032260F">
        <w:rPr>
          <w:bCs/>
          <w:sz w:val="22"/>
          <w:szCs w:val="22"/>
        </w:rPr>
        <w:t>2</w:t>
      </w:r>
      <w:r w:rsidRPr="00D02697">
        <w:rPr>
          <w:sz w:val="22"/>
          <w:szCs w:val="22"/>
        </w:rPr>
        <w:t>/КК</w:t>
      </w:r>
    </w:p>
    <w:p w:rsidR="0032260F" w:rsidRPr="00D02697" w:rsidRDefault="0032260F" w:rsidP="0032260F">
      <w:pPr>
        <w:jc w:val="right"/>
        <w:outlineLvl w:val="0"/>
        <w:rPr>
          <w:bCs/>
          <w:sz w:val="22"/>
          <w:szCs w:val="22"/>
        </w:rPr>
      </w:pPr>
      <w:r w:rsidRPr="00D02697">
        <w:rPr>
          <w:bCs/>
          <w:sz w:val="22"/>
          <w:szCs w:val="22"/>
        </w:rPr>
        <w:t>заседания Конкурсной комиссии</w:t>
      </w:r>
    </w:p>
    <w:p w:rsidR="0032260F" w:rsidRPr="00D02697" w:rsidRDefault="0032260F" w:rsidP="0032260F">
      <w:pPr>
        <w:jc w:val="right"/>
        <w:rPr>
          <w:sz w:val="22"/>
          <w:szCs w:val="22"/>
        </w:rPr>
      </w:pPr>
      <w:r w:rsidRPr="00D02697">
        <w:rPr>
          <w:sz w:val="22"/>
          <w:szCs w:val="22"/>
        </w:rPr>
        <w:t>открытого акционерного общества</w:t>
      </w:r>
    </w:p>
    <w:p w:rsidR="0032260F" w:rsidRPr="00D02697" w:rsidRDefault="0032260F" w:rsidP="0032260F">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32260F" w:rsidRDefault="0032260F" w:rsidP="007D364E">
      <w:pPr>
        <w:jc w:val="right"/>
        <w:rPr>
          <w:sz w:val="22"/>
          <w:szCs w:val="22"/>
        </w:rPr>
      </w:pPr>
      <w:r w:rsidRPr="00D02697">
        <w:rPr>
          <w:sz w:val="22"/>
          <w:szCs w:val="22"/>
        </w:rPr>
        <w:t xml:space="preserve">состоявшегося </w:t>
      </w:r>
      <w:r>
        <w:rPr>
          <w:sz w:val="22"/>
          <w:szCs w:val="22"/>
        </w:rPr>
        <w:t xml:space="preserve"> 2</w:t>
      </w:r>
      <w:r w:rsidRPr="000B49C0">
        <w:rPr>
          <w:sz w:val="22"/>
          <w:szCs w:val="22"/>
        </w:rPr>
        <w:t>2</w:t>
      </w:r>
      <w:r>
        <w:rPr>
          <w:sz w:val="22"/>
          <w:szCs w:val="22"/>
        </w:rPr>
        <w:t xml:space="preserve"> мая </w:t>
      </w:r>
      <w:r w:rsidRPr="00D02697">
        <w:rPr>
          <w:sz w:val="22"/>
          <w:szCs w:val="22"/>
        </w:rPr>
        <w:t xml:space="preserve"> 201</w:t>
      </w:r>
      <w:r>
        <w:rPr>
          <w:sz w:val="22"/>
          <w:szCs w:val="22"/>
        </w:rPr>
        <w:t>4</w:t>
      </w:r>
      <w:r w:rsidRPr="00D02697">
        <w:rPr>
          <w:sz w:val="22"/>
          <w:szCs w:val="22"/>
        </w:rPr>
        <w:t xml:space="preserve"> года</w:t>
      </w:r>
    </w:p>
    <w:p w:rsidR="0032260F" w:rsidRDefault="0032260F" w:rsidP="00AE1AD0">
      <w:pPr>
        <w:jc w:val="right"/>
        <w:rPr>
          <w:sz w:val="22"/>
          <w:szCs w:val="22"/>
        </w:rPr>
      </w:pPr>
    </w:p>
    <w:p w:rsidR="0032260F" w:rsidRPr="0032260F" w:rsidRDefault="0032260F" w:rsidP="0032260F">
      <w:pPr>
        <w:jc w:val="center"/>
        <w:rPr>
          <w:b/>
          <w:bCs/>
          <w:sz w:val="24"/>
          <w:szCs w:val="24"/>
        </w:rPr>
      </w:pPr>
      <w:r w:rsidRPr="0032260F">
        <w:rPr>
          <w:b/>
          <w:bCs/>
          <w:sz w:val="24"/>
          <w:szCs w:val="24"/>
        </w:rPr>
        <w:t>Предельные ставки платы за аренду транспортных средств с экипажем</w:t>
      </w:r>
    </w:p>
    <w:p w:rsidR="0032260F" w:rsidRPr="0032260F" w:rsidRDefault="0032260F" w:rsidP="0032260F">
      <w:pPr>
        <w:jc w:val="center"/>
        <w:rPr>
          <w:b/>
          <w:bCs/>
          <w:color w:val="000000"/>
          <w:sz w:val="24"/>
          <w:szCs w:val="24"/>
        </w:rPr>
      </w:pPr>
    </w:p>
    <w:p w:rsidR="0032260F" w:rsidRPr="0032260F" w:rsidRDefault="0032260F" w:rsidP="0032260F">
      <w:pPr>
        <w:jc w:val="center"/>
        <w:rPr>
          <w:b/>
          <w:bCs/>
          <w:sz w:val="24"/>
          <w:szCs w:val="24"/>
        </w:rPr>
      </w:pPr>
      <w:r w:rsidRPr="0032260F">
        <w:rPr>
          <w:b/>
          <w:bCs/>
          <w:color w:val="000000"/>
          <w:sz w:val="24"/>
          <w:szCs w:val="24"/>
        </w:rPr>
        <w:t>Перевозка контейнеров в г. Казани</w:t>
      </w:r>
    </w:p>
    <w:tbl>
      <w:tblPr>
        <w:tblpPr w:leftFromText="180" w:rightFromText="180" w:vertAnchor="text" w:tblpXSpec="center" w:tblpY="1"/>
        <w:tblOverlap w:val="never"/>
        <w:tblW w:w="9464" w:type="dxa"/>
        <w:tblLayout w:type="fixed"/>
        <w:tblLook w:val="04A0"/>
      </w:tblPr>
      <w:tblGrid>
        <w:gridCol w:w="3544"/>
        <w:gridCol w:w="959"/>
        <w:gridCol w:w="992"/>
        <w:gridCol w:w="992"/>
        <w:gridCol w:w="992"/>
        <w:gridCol w:w="993"/>
        <w:gridCol w:w="992"/>
      </w:tblGrid>
      <w:tr w:rsidR="0032260F" w:rsidRPr="0032260F" w:rsidTr="0030649E">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32260F" w:rsidRPr="0032260F" w:rsidRDefault="0032260F" w:rsidP="0030649E">
            <w:pPr>
              <w:jc w:val="center"/>
              <w:rPr>
                <w:sz w:val="20"/>
              </w:rPr>
            </w:pPr>
            <w:r w:rsidRPr="0032260F">
              <w:rPr>
                <w:sz w:val="20"/>
              </w:rPr>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 xml:space="preserve">Предельные ставки арендной платы за 1 авторейс </w:t>
            </w:r>
          </w:p>
          <w:p w:rsidR="0032260F" w:rsidRPr="0032260F" w:rsidRDefault="0032260F" w:rsidP="0030649E">
            <w:pPr>
              <w:jc w:val="center"/>
              <w:rPr>
                <w:bCs/>
                <w:sz w:val="20"/>
              </w:rPr>
            </w:pPr>
            <w:r w:rsidRPr="0032260F">
              <w:rPr>
                <w:sz w:val="20"/>
              </w:rPr>
              <w:t>(без учета НДС)</w:t>
            </w:r>
          </w:p>
        </w:tc>
      </w:tr>
      <w:tr w:rsidR="0032260F" w:rsidRPr="0032260F" w:rsidTr="0030649E">
        <w:trPr>
          <w:trHeight w:val="517"/>
        </w:trPr>
        <w:tc>
          <w:tcPr>
            <w:tcW w:w="3544" w:type="dxa"/>
            <w:vMerge w:val="restart"/>
            <w:tcBorders>
              <w:top w:val="single" w:sz="4" w:space="0" w:color="auto"/>
              <w:left w:val="single" w:sz="4" w:space="0" w:color="auto"/>
              <w:bottom w:val="single" w:sz="4" w:space="0" w:color="auto"/>
              <w:right w:val="single" w:sz="4" w:space="0" w:color="auto"/>
            </w:tcBorders>
            <w:noWrap/>
            <w:vAlign w:val="bottom"/>
            <w:hideMark/>
          </w:tcPr>
          <w:p w:rsidR="0032260F" w:rsidRPr="0032260F" w:rsidRDefault="0032260F" w:rsidP="0030649E">
            <w:pPr>
              <w:jc w:val="center"/>
              <w:rPr>
                <w:sz w:val="20"/>
              </w:rPr>
            </w:pPr>
            <w:r w:rsidRPr="0032260F">
              <w:rPr>
                <w:bCs/>
                <w:sz w:val="20"/>
              </w:rPr>
              <w:t>Перевозка контейнера в городской черте согласно зональности автоперевозки</w:t>
            </w:r>
            <w:r w:rsidRPr="0032260F">
              <w:rPr>
                <w:b/>
                <w:bCs/>
                <w:color w:val="000000"/>
                <w:sz w:val="20"/>
              </w:rPr>
              <w:t xml:space="preserve"> </w:t>
            </w:r>
            <w:r w:rsidRPr="0032260F">
              <w:rPr>
                <w:bCs/>
                <w:color w:val="000000"/>
                <w:sz w:val="20"/>
              </w:rPr>
              <w:t>от 1 км до 150 км кругорейс  по городу</w:t>
            </w:r>
          </w:p>
        </w:tc>
        <w:tc>
          <w:tcPr>
            <w:tcW w:w="959" w:type="dxa"/>
            <w:vMerge w:val="restart"/>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bCs/>
                <w:sz w:val="20"/>
              </w:rPr>
            </w:pPr>
            <w:r w:rsidRPr="0032260F">
              <w:rPr>
                <w:bCs/>
                <w:sz w:val="20"/>
              </w:rPr>
              <w:t>40 фут</w:t>
            </w:r>
          </w:p>
        </w:tc>
        <w:tc>
          <w:tcPr>
            <w:tcW w:w="992" w:type="dxa"/>
            <w:vMerge w:val="restart"/>
            <w:tcBorders>
              <w:top w:val="single" w:sz="4" w:space="0" w:color="auto"/>
              <w:left w:val="nil"/>
              <w:bottom w:val="single" w:sz="4" w:space="0" w:color="000000"/>
              <w:right w:val="single" w:sz="4" w:space="0" w:color="auto"/>
            </w:tcBorders>
            <w:vAlign w:val="bottom"/>
          </w:tcPr>
          <w:p w:rsidR="0032260F" w:rsidRPr="0032260F" w:rsidRDefault="0032260F" w:rsidP="0030649E">
            <w:pPr>
              <w:jc w:val="center"/>
              <w:rPr>
                <w:bCs/>
                <w:sz w:val="20"/>
              </w:rPr>
            </w:pPr>
            <w:r w:rsidRPr="0032260F">
              <w:rPr>
                <w:bCs/>
                <w:sz w:val="20"/>
              </w:rPr>
              <w:t>30 тн</w:t>
            </w:r>
          </w:p>
        </w:tc>
        <w:tc>
          <w:tcPr>
            <w:tcW w:w="992" w:type="dxa"/>
            <w:vMerge w:val="restart"/>
            <w:tcBorders>
              <w:top w:val="single" w:sz="4" w:space="0" w:color="auto"/>
              <w:left w:val="single" w:sz="4" w:space="0" w:color="auto"/>
              <w:bottom w:val="single" w:sz="4" w:space="0" w:color="000000"/>
              <w:right w:val="single" w:sz="4" w:space="0" w:color="auto"/>
            </w:tcBorders>
            <w:vAlign w:val="bottom"/>
          </w:tcPr>
          <w:p w:rsidR="0032260F" w:rsidRPr="0032260F" w:rsidRDefault="0032260F" w:rsidP="0030649E">
            <w:pPr>
              <w:jc w:val="center"/>
              <w:rPr>
                <w:bCs/>
                <w:sz w:val="20"/>
              </w:rPr>
            </w:pPr>
            <w:r w:rsidRPr="0032260F">
              <w:rPr>
                <w:bCs/>
                <w:sz w:val="20"/>
              </w:rPr>
              <w:t>24 тн</w:t>
            </w:r>
          </w:p>
        </w:tc>
        <w:tc>
          <w:tcPr>
            <w:tcW w:w="992" w:type="dxa"/>
            <w:vMerge w:val="restart"/>
            <w:tcBorders>
              <w:top w:val="single" w:sz="4" w:space="0" w:color="auto"/>
              <w:left w:val="single" w:sz="4" w:space="0" w:color="auto"/>
              <w:bottom w:val="single" w:sz="4" w:space="0" w:color="000000"/>
              <w:right w:val="single" w:sz="4" w:space="0" w:color="000000"/>
            </w:tcBorders>
            <w:vAlign w:val="bottom"/>
          </w:tcPr>
          <w:p w:rsidR="0032260F" w:rsidRPr="0032260F" w:rsidRDefault="0032260F" w:rsidP="0030649E">
            <w:pPr>
              <w:jc w:val="center"/>
              <w:rPr>
                <w:bCs/>
                <w:sz w:val="20"/>
              </w:rPr>
            </w:pPr>
            <w:r w:rsidRPr="0032260F">
              <w:rPr>
                <w:bCs/>
                <w:sz w:val="20"/>
              </w:rPr>
              <w:t>20 тн</w:t>
            </w:r>
          </w:p>
        </w:tc>
        <w:tc>
          <w:tcPr>
            <w:tcW w:w="993" w:type="dxa"/>
            <w:vMerge w:val="restart"/>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bCs/>
                <w:sz w:val="20"/>
              </w:rPr>
            </w:pPr>
            <w:r w:rsidRPr="0032260F">
              <w:rPr>
                <w:bCs/>
                <w:sz w:val="20"/>
              </w:rPr>
              <w:t>3-х тонный</w:t>
            </w:r>
          </w:p>
        </w:tc>
        <w:tc>
          <w:tcPr>
            <w:tcW w:w="992" w:type="dxa"/>
            <w:vMerge w:val="restart"/>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bCs/>
                <w:sz w:val="20"/>
              </w:rPr>
            </w:pPr>
            <w:r w:rsidRPr="0032260F">
              <w:rPr>
                <w:bCs/>
                <w:sz w:val="20"/>
              </w:rPr>
              <w:t>5-и тонный</w:t>
            </w:r>
          </w:p>
        </w:tc>
      </w:tr>
      <w:tr w:rsidR="0032260F" w:rsidRPr="0032260F" w:rsidTr="0030649E">
        <w:trPr>
          <w:trHeight w:val="11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260F" w:rsidRPr="0032260F" w:rsidRDefault="0032260F" w:rsidP="0030649E">
            <w:pPr>
              <w:rPr>
                <w:sz w:val="20"/>
              </w:rPr>
            </w:pPr>
          </w:p>
        </w:tc>
        <w:tc>
          <w:tcPr>
            <w:tcW w:w="959" w:type="dxa"/>
            <w:vMerge/>
            <w:tcBorders>
              <w:top w:val="single" w:sz="4" w:space="0" w:color="auto"/>
              <w:left w:val="nil"/>
              <w:bottom w:val="single" w:sz="4" w:space="0" w:color="000000"/>
              <w:right w:val="single" w:sz="4" w:space="0" w:color="auto"/>
            </w:tcBorders>
            <w:vAlign w:val="center"/>
            <w:hideMark/>
          </w:tcPr>
          <w:p w:rsidR="0032260F" w:rsidRPr="0032260F" w:rsidRDefault="0032260F" w:rsidP="0030649E">
            <w:pPr>
              <w:rPr>
                <w:bCs/>
                <w:sz w:val="20"/>
              </w:rPr>
            </w:pPr>
          </w:p>
        </w:tc>
        <w:tc>
          <w:tcPr>
            <w:tcW w:w="992" w:type="dxa"/>
            <w:vMerge/>
            <w:tcBorders>
              <w:top w:val="single" w:sz="4" w:space="0" w:color="auto"/>
              <w:left w:val="nil"/>
              <w:bottom w:val="single" w:sz="4" w:space="0" w:color="000000"/>
              <w:right w:val="single" w:sz="4" w:space="0" w:color="auto"/>
            </w:tcBorders>
            <w:vAlign w:val="center"/>
          </w:tcPr>
          <w:p w:rsidR="0032260F" w:rsidRPr="0032260F" w:rsidRDefault="0032260F" w:rsidP="0030649E">
            <w:pPr>
              <w:rPr>
                <w:bCs/>
                <w:sz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260F" w:rsidRPr="0032260F" w:rsidRDefault="0032260F" w:rsidP="0030649E">
            <w:pPr>
              <w:rPr>
                <w:bCs/>
                <w:sz w:val="20"/>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32260F" w:rsidRPr="0032260F" w:rsidRDefault="0032260F" w:rsidP="0030649E">
            <w:pPr>
              <w:rPr>
                <w:bCs/>
                <w:sz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260F" w:rsidRPr="0032260F" w:rsidRDefault="0032260F" w:rsidP="0030649E">
            <w:pPr>
              <w:rPr>
                <w:bCs/>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2260F" w:rsidRPr="0032260F" w:rsidRDefault="0032260F" w:rsidP="0030649E">
            <w:pPr>
              <w:rPr>
                <w:bCs/>
                <w:sz w:val="20"/>
              </w:rPr>
            </w:pPr>
          </w:p>
        </w:tc>
      </w:tr>
      <w:tr w:rsidR="0032260F" w:rsidRPr="0032260F" w:rsidTr="0030649E">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32260F" w:rsidRPr="0032260F" w:rsidRDefault="0032260F" w:rsidP="0030649E">
            <w:pPr>
              <w:rPr>
                <w:sz w:val="20"/>
              </w:rPr>
            </w:pPr>
            <w:r w:rsidRPr="0032260F">
              <w:rPr>
                <w:sz w:val="20"/>
              </w:rPr>
              <w:t>Зона № 1     (до 1 км)</w:t>
            </w:r>
          </w:p>
        </w:tc>
        <w:tc>
          <w:tcPr>
            <w:tcW w:w="959" w:type="dxa"/>
            <w:tcBorders>
              <w:top w:val="single" w:sz="4" w:space="0" w:color="000000"/>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3947</w:t>
            </w:r>
          </w:p>
        </w:tc>
        <w:tc>
          <w:tcPr>
            <w:tcW w:w="992" w:type="dxa"/>
            <w:tcBorders>
              <w:top w:val="single" w:sz="4" w:space="0" w:color="000000"/>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2541</w:t>
            </w:r>
          </w:p>
        </w:tc>
        <w:tc>
          <w:tcPr>
            <w:tcW w:w="992" w:type="dxa"/>
            <w:tcBorders>
              <w:top w:val="single" w:sz="4" w:space="0" w:color="000000"/>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2374</w:t>
            </w:r>
          </w:p>
        </w:tc>
        <w:tc>
          <w:tcPr>
            <w:tcW w:w="992" w:type="dxa"/>
            <w:tcBorders>
              <w:top w:val="single" w:sz="4" w:space="0" w:color="000000"/>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sz w:val="20"/>
              </w:rPr>
              <w:t>2159</w:t>
            </w:r>
          </w:p>
        </w:tc>
        <w:tc>
          <w:tcPr>
            <w:tcW w:w="993" w:type="dxa"/>
            <w:tcBorders>
              <w:top w:val="single" w:sz="4" w:space="0" w:color="000000"/>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463</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750</w:t>
            </w:r>
          </w:p>
        </w:tc>
      </w:tr>
      <w:tr w:rsidR="0032260F" w:rsidRPr="0032260F" w:rsidTr="0030649E">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32260F" w:rsidRPr="0032260F" w:rsidRDefault="0032260F" w:rsidP="0030649E">
            <w:pPr>
              <w:rPr>
                <w:sz w:val="20"/>
              </w:rPr>
            </w:pPr>
            <w:r w:rsidRPr="0032260F">
              <w:rPr>
                <w:sz w:val="20"/>
              </w:rPr>
              <w:t>Зона № 2   (от 1 до 50 км)</w:t>
            </w:r>
          </w:p>
        </w:tc>
        <w:tc>
          <w:tcPr>
            <w:tcW w:w="959" w:type="dxa"/>
            <w:tcBorders>
              <w:top w:val="nil"/>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7894</w:t>
            </w:r>
          </w:p>
        </w:tc>
        <w:tc>
          <w:tcPr>
            <w:tcW w:w="992" w:type="dxa"/>
            <w:tcBorders>
              <w:top w:val="nil"/>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5082</w:t>
            </w:r>
          </w:p>
        </w:tc>
        <w:tc>
          <w:tcPr>
            <w:tcW w:w="992" w:type="dxa"/>
            <w:tcBorders>
              <w:top w:val="nil"/>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4748</w:t>
            </w:r>
          </w:p>
        </w:tc>
        <w:tc>
          <w:tcPr>
            <w:tcW w:w="992" w:type="dxa"/>
            <w:tcBorders>
              <w:top w:val="nil"/>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sz w:val="20"/>
              </w:rPr>
              <w:t>4319</w:t>
            </w:r>
          </w:p>
        </w:tc>
        <w:tc>
          <w:tcPr>
            <w:tcW w:w="993" w:type="dxa"/>
            <w:tcBorders>
              <w:top w:val="nil"/>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1852</w:t>
            </w:r>
          </w:p>
        </w:tc>
        <w:tc>
          <w:tcPr>
            <w:tcW w:w="992" w:type="dxa"/>
            <w:tcBorders>
              <w:top w:val="nil"/>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2001</w:t>
            </w:r>
          </w:p>
        </w:tc>
      </w:tr>
      <w:tr w:rsidR="0032260F" w:rsidRPr="0032260F" w:rsidTr="0030649E">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32260F" w:rsidRPr="0032260F" w:rsidRDefault="0032260F" w:rsidP="0030649E">
            <w:pPr>
              <w:rPr>
                <w:sz w:val="20"/>
              </w:rPr>
            </w:pPr>
            <w:r w:rsidRPr="0032260F">
              <w:rPr>
                <w:sz w:val="20"/>
              </w:rPr>
              <w:t>Зона № 3 (от 51 до 70 км)</w:t>
            </w:r>
          </w:p>
        </w:tc>
        <w:tc>
          <w:tcPr>
            <w:tcW w:w="959" w:type="dxa"/>
            <w:tcBorders>
              <w:top w:val="nil"/>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9022</w:t>
            </w:r>
          </w:p>
        </w:tc>
        <w:tc>
          <w:tcPr>
            <w:tcW w:w="992" w:type="dxa"/>
            <w:tcBorders>
              <w:top w:val="nil"/>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6099</w:t>
            </w:r>
          </w:p>
        </w:tc>
        <w:tc>
          <w:tcPr>
            <w:tcW w:w="992" w:type="dxa"/>
            <w:tcBorders>
              <w:top w:val="nil"/>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5698</w:t>
            </w:r>
          </w:p>
        </w:tc>
        <w:tc>
          <w:tcPr>
            <w:tcW w:w="992" w:type="dxa"/>
            <w:tcBorders>
              <w:top w:val="nil"/>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sz w:val="20"/>
              </w:rPr>
              <w:t>5183</w:t>
            </w:r>
          </w:p>
        </w:tc>
        <w:tc>
          <w:tcPr>
            <w:tcW w:w="993" w:type="dxa"/>
            <w:tcBorders>
              <w:top w:val="nil"/>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2316</w:t>
            </w:r>
          </w:p>
        </w:tc>
        <w:tc>
          <w:tcPr>
            <w:tcW w:w="992" w:type="dxa"/>
            <w:tcBorders>
              <w:top w:val="nil"/>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2501</w:t>
            </w:r>
          </w:p>
        </w:tc>
      </w:tr>
      <w:tr w:rsidR="0032260F" w:rsidRPr="0032260F" w:rsidTr="0030649E">
        <w:trPr>
          <w:trHeight w:val="217"/>
        </w:trPr>
        <w:tc>
          <w:tcPr>
            <w:tcW w:w="3544" w:type="dxa"/>
            <w:tcBorders>
              <w:top w:val="nil"/>
              <w:left w:val="single" w:sz="4" w:space="0" w:color="000000"/>
              <w:bottom w:val="single" w:sz="4" w:space="0" w:color="auto"/>
              <w:right w:val="single" w:sz="4" w:space="0" w:color="000000"/>
            </w:tcBorders>
            <w:noWrap/>
            <w:vAlign w:val="bottom"/>
            <w:hideMark/>
          </w:tcPr>
          <w:p w:rsidR="0032260F" w:rsidRPr="0032260F" w:rsidRDefault="0032260F" w:rsidP="0030649E">
            <w:pPr>
              <w:rPr>
                <w:sz w:val="20"/>
              </w:rPr>
            </w:pPr>
            <w:r w:rsidRPr="0032260F">
              <w:rPr>
                <w:sz w:val="20"/>
              </w:rPr>
              <w:t>Зона № 4 (от 71 до 150 км)</w:t>
            </w:r>
          </w:p>
        </w:tc>
        <w:tc>
          <w:tcPr>
            <w:tcW w:w="959" w:type="dxa"/>
            <w:tcBorders>
              <w:top w:val="nil"/>
              <w:left w:val="nil"/>
              <w:bottom w:val="single" w:sz="4" w:space="0" w:color="auto"/>
              <w:right w:val="single" w:sz="4" w:space="0" w:color="auto"/>
            </w:tcBorders>
            <w:noWrap/>
            <w:vAlign w:val="bottom"/>
            <w:hideMark/>
          </w:tcPr>
          <w:p w:rsidR="0032260F" w:rsidRPr="0032260F" w:rsidRDefault="0032260F" w:rsidP="0030649E">
            <w:pPr>
              <w:jc w:val="center"/>
              <w:rPr>
                <w:sz w:val="20"/>
              </w:rPr>
            </w:pPr>
            <w:r w:rsidRPr="0032260F">
              <w:rPr>
                <w:sz w:val="20"/>
              </w:rPr>
              <w:t>10150</w:t>
            </w:r>
          </w:p>
        </w:tc>
        <w:tc>
          <w:tcPr>
            <w:tcW w:w="992" w:type="dxa"/>
            <w:tcBorders>
              <w:top w:val="nil"/>
              <w:left w:val="nil"/>
              <w:bottom w:val="single" w:sz="4" w:space="0" w:color="auto"/>
              <w:right w:val="single" w:sz="4" w:space="0" w:color="auto"/>
            </w:tcBorders>
            <w:vAlign w:val="bottom"/>
          </w:tcPr>
          <w:p w:rsidR="0032260F" w:rsidRPr="0032260F" w:rsidRDefault="0032260F" w:rsidP="0030649E">
            <w:pPr>
              <w:jc w:val="center"/>
              <w:rPr>
                <w:sz w:val="20"/>
              </w:rPr>
            </w:pPr>
            <w:r w:rsidRPr="0032260F">
              <w:rPr>
                <w:sz w:val="20"/>
              </w:rPr>
              <w:t>7115</w:t>
            </w:r>
          </w:p>
        </w:tc>
        <w:tc>
          <w:tcPr>
            <w:tcW w:w="992" w:type="dxa"/>
            <w:tcBorders>
              <w:top w:val="nil"/>
              <w:left w:val="single" w:sz="4" w:space="0" w:color="auto"/>
              <w:bottom w:val="single" w:sz="4" w:space="0" w:color="auto"/>
              <w:right w:val="single" w:sz="4" w:space="0" w:color="auto"/>
            </w:tcBorders>
            <w:vAlign w:val="bottom"/>
          </w:tcPr>
          <w:p w:rsidR="0032260F" w:rsidRPr="0032260F" w:rsidRDefault="0032260F" w:rsidP="0030649E">
            <w:pPr>
              <w:jc w:val="center"/>
              <w:rPr>
                <w:sz w:val="20"/>
              </w:rPr>
            </w:pPr>
            <w:r w:rsidRPr="0032260F">
              <w:rPr>
                <w:sz w:val="20"/>
              </w:rPr>
              <w:t>6648</w:t>
            </w:r>
          </w:p>
        </w:tc>
        <w:tc>
          <w:tcPr>
            <w:tcW w:w="992" w:type="dxa"/>
            <w:tcBorders>
              <w:top w:val="nil"/>
              <w:left w:val="single" w:sz="4" w:space="0" w:color="auto"/>
              <w:bottom w:val="single" w:sz="4" w:space="0" w:color="auto"/>
              <w:right w:val="single" w:sz="4" w:space="0" w:color="000000"/>
            </w:tcBorders>
            <w:vAlign w:val="bottom"/>
          </w:tcPr>
          <w:p w:rsidR="0032260F" w:rsidRPr="0032260F" w:rsidRDefault="0032260F" w:rsidP="0030649E">
            <w:pPr>
              <w:jc w:val="center"/>
              <w:rPr>
                <w:sz w:val="20"/>
              </w:rPr>
            </w:pPr>
            <w:r w:rsidRPr="0032260F">
              <w:rPr>
                <w:sz w:val="20"/>
              </w:rPr>
              <w:t>6047</w:t>
            </w:r>
          </w:p>
        </w:tc>
        <w:tc>
          <w:tcPr>
            <w:tcW w:w="993"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2779</w:t>
            </w:r>
          </w:p>
        </w:tc>
        <w:tc>
          <w:tcPr>
            <w:tcW w:w="992"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3001</w:t>
            </w:r>
          </w:p>
        </w:tc>
      </w:tr>
      <w:tr w:rsidR="0032260F" w:rsidRPr="0032260F" w:rsidTr="0030649E">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32260F" w:rsidRPr="0032260F" w:rsidRDefault="0032260F" w:rsidP="0030649E">
            <w:pPr>
              <w:rPr>
                <w:sz w:val="20"/>
              </w:rPr>
            </w:pPr>
            <w:r w:rsidRPr="0032260F">
              <w:rPr>
                <w:sz w:val="20"/>
              </w:rP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3,5</w:t>
            </w:r>
          </w:p>
        </w:tc>
        <w:tc>
          <w:tcPr>
            <w:tcW w:w="992" w:type="dxa"/>
            <w:tcBorders>
              <w:top w:val="single" w:sz="4" w:space="0" w:color="auto"/>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2,5</w:t>
            </w:r>
          </w:p>
        </w:tc>
        <w:tc>
          <w:tcPr>
            <w:tcW w:w="992" w:type="dxa"/>
            <w:tcBorders>
              <w:top w:val="single" w:sz="4" w:space="0" w:color="auto"/>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2,5</w:t>
            </w:r>
          </w:p>
        </w:tc>
        <w:tc>
          <w:tcPr>
            <w:tcW w:w="992" w:type="dxa"/>
            <w:tcBorders>
              <w:top w:val="single" w:sz="4" w:space="0" w:color="auto"/>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sz w:val="20"/>
              </w:rPr>
              <w:t>2,5</w:t>
            </w:r>
          </w:p>
        </w:tc>
        <w:tc>
          <w:tcPr>
            <w:tcW w:w="993"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1,5</w:t>
            </w:r>
          </w:p>
        </w:tc>
      </w:tr>
      <w:tr w:rsidR="0032260F" w:rsidRPr="0032260F" w:rsidTr="0030649E">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32260F" w:rsidRPr="0032260F" w:rsidRDefault="0032260F" w:rsidP="0030649E">
            <w:pPr>
              <w:rPr>
                <w:sz w:val="20"/>
              </w:rPr>
            </w:pPr>
            <w:r w:rsidRPr="0032260F">
              <w:rPr>
                <w:sz w:val="20"/>
              </w:rPr>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32260F" w:rsidRPr="0032260F" w:rsidRDefault="0032260F" w:rsidP="0030649E">
            <w:pPr>
              <w:jc w:val="center"/>
              <w:rPr>
                <w:bCs/>
                <w:sz w:val="20"/>
              </w:rPr>
            </w:pPr>
            <w:r w:rsidRPr="0032260F">
              <w:rPr>
                <w:bCs/>
                <w:sz w:val="20"/>
              </w:rPr>
              <w:t>1127</w:t>
            </w:r>
          </w:p>
        </w:tc>
        <w:tc>
          <w:tcPr>
            <w:tcW w:w="992" w:type="dxa"/>
            <w:tcBorders>
              <w:top w:val="nil"/>
              <w:left w:val="nil"/>
              <w:bottom w:val="single" w:sz="4" w:space="0" w:color="auto"/>
              <w:right w:val="single" w:sz="4" w:space="0" w:color="auto"/>
            </w:tcBorders>
            <w:vAlign w:val="bottom"/>
          </w:tcPr>
          <w:p w:rsidR="0032260F" w:rsidRPr="0032260F" w:rsidRDefault="0032260F" w:rsidP="0030649E">
            <w:pPr>
              <w:jc w:val="center"/>
              <w:rPr>
                <w:bCs/>
                <w:sz w:val="20"/>
              </w:rPr>
            </w:pPr>
            <w:r w:rsidRPr="0032260F">
              <w:rPr>
                <w:bCs/>
                <w:sz w:val="20"/>
              </w:rPr>
              <w:t>1016</w:t>
            </w:r>
          </w:p>
        </w:tc>
        <w:tc>
          <w:tcPr>
            <w:tcW w:w="992" w:type="dxa"/>
            <w:tcBorders>
              <w:top w:val="nil"/>
              <w:left w:val="single" w:sz="4" w:space="0" w:color="auto"/>
              <w:bottom w:val="single" w:sz="4" w:space="0" w:color="auto"/>
              <w:right w:val="single" w:sz="4" w:space="0" w:color="auto"/>
            </w:tcBorders>
            <w:vAlign w:val="bottom"/>
          </w:tcPr>
          <w:p w:rsidR="0032260F" w:rsidRPr="0032260F" w:rsidRDefault="0032260F" w:rsidP="0030649E">
            <w:pPr>
              <w:jc w:val="center"/>
              <w:rPr>
                <w:bCs/>
                <w:sz w:val="20"/>
              </w:rPr>
            </w:pPr>
            <w:r w:rsidRPr="0032260F">
              <w:rPr>
                <w:bCs/>
                <w:sz w:val="20"/>
              </w:rPr>
              <w:t>950</w:t>
            </w:r>
          </w:p>
        </w:tc>
        <w:tc>
          <w:tcPr>
            <w:tcW w:w="992" w:type="dxa"/>
            <w:tcBorders>
              <w:top w:val="nil"/>
              <w:left w:val="single" w:sz="4" w:space="0" w:color="auto"/>
              <w:bottom w:val="single" w:sz="4" w:space="0" w:color="auto"/>
              <w:right w:val="single" w:sz="4" w:space="0" w:color="000000"/>
            </w:tcBorders>
            <w:vAlign w:val="bottom"/>
          </w:tcPr>
          <w:p w:rsidR="0032260F" w:rsidRPr="0032260F" w:rsidRDefault="0032260F" w:rsidP="0030649E">
            <w:pPr>
              <w:jc w:val="center"/>
              <w:rPr>
                <w:bCs/>
                <w:sz w:val="20"/>
              </w:rPr>
            </w:pPr>
            <w:r w:rsidRPr="0032260F">
              <w:rPr>
                <w:bCs/>
                <w:sz w:val="20"/>
              </w:rPr>
              <w:t>863</w:t>
            </w:r>
          </w:p>
        </w:tc>
        <w:tc>
          <w:tcPr>
            <w:tcW w:w="993"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463</w:t>
            </w:r>
          </w:p>
        </w:tc>
        <w:tc>
          <w:tcPr>
            <w:tcW w:w="992"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500</w:t>
            </w:r>
          </w:p>
        </w:tc>
      </w:tr>
    </w:tbl>
    <w:p w:rsidR="0032260F" w:rsidRDefault="0032260F" w:rsidP="0032260F">
      <w:pPr>
        <w:ind w:left="5245"/>
        <w:rPr>
          <w:color w:val="000000"/>
        </w:rPr>
      </w:pPr>
    </w:p>
    <w:p w:rsidR="0032260F" w:rsidRPr="0032260F" w:rsidRDefault="0032260F" w:rsidP="0032260F">
      <w:pPr>
        <w:jc w:val="center"/>
        <w:rPr>
          <w:b/>
          <w:bCs/>
          <w:color w:val="000000"/>
          <w:sz w:val="24"/>
          <w:szCs w:val="24"/>
        </w:rPr>
      </w:pPr>
      <w:r w:rsidRPr="0032260F">
        <w:rPr>
          <w:b/>
          <w:bCs/>
          <w:color w:val="000000"/>
          <w:sz w:val="24"/>
          <w:szCs w:val="24"/>
        </w:rPr>
        <w:t xml:space="preserve">Перевозка контейнеров в прилегающих районах </w:t>
      </w:r>
    </w:p>
    <w:tbl>
      <w:tblPr>
        <w:tblpPr w:leftFromText="180" w:rightFromText="180" w:vertAnchor="text" w:tblpX="250" w:tblpY="1"/>
        <w:tblOverlap w:val="never"/>
        <w:tblW w:w="9464" w:type="dxa"/>
        <w:tblLayout w:type="fixed"/>
        <w:tblLook w:val="04A0"/>
      </w:tblPr>
      <w:tblGrid>
        <w:gridCol w:w="3544"/>
        <w:gridCol w:w="959"/>
        <w:gridCol w:w="992"/>
        <w:gridCol w:w="992"/>
        <w:gridCol w:w="992"/>
        <w:gridCol w:w="993"/>
        <w:gridCol w:w="992"/>
      </w:tblGrid>
      <w:tr w:rsidR="0032260F" w:rsidRPr="0032260F" w:rsidTr="0030649E">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32260F" w:rsidRPr="0032260F" w:rsidRDefault="0032260F" w:rsidP="0030649E">
            <w:pPr>
              <w:jc w:val="center"/>
              <w:rPr>
                <w:sz w:val="20"/>
              </w:rPr>
            </w:pPr>
            <w:r w:rsidRPr="0032260F">
              <w:rPr>
                <w:sz w:val="20"/>
              </w:rPr>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 xml:space="preserve">Предельные ставки арендной платы за 1 км в кругорейсе  </w:t>
            </w:r>
          </w:p>
          <w:p w:rsidR="0032260F" w:rsidRPr="0032260F" w:rsidRDefault="0032260F" w:rsidP="0030649E">
            <w:pPr>
              <w:jc w:val="center"/>
              <w:rPr>
                <w:bCs/>
                <w:sz w:val="20"/>
              </w:rPr>
            </w:pPr>
            <w:r w:rsidRPr="0032260F">
              <w:rPr>
                <w:sz w:val="20"/>
              </w:rPr>
              <w:t>(без учета НДС)</w:t>
            </w:r>
          </w:p>
        </w:tc>
      </w:tr>
      <w:tr w:rsidR="0032260F" w:rsidRPr="0032260F" w:rsidTr="0030649E">
        <w:trPr>
          <w:trHeight w:val="504"/>
        </w:trPr>
        <w:tc>
          <w:tcPr>
            <w:tcW w:w="3544" w:type="dxa"/>
            <w:vMerge w:val="restart"/>
            <w:tcBorders>
              <w:top w:val="single" w:sz="4" w:space="0" w:color="auto"/>
              <w:left w:val="single" w:sz="4" w:space="0" w:color="auto"/>
              <w:bottom w:val="nil"/>
              <w:right w:val="single" w:sz="4" w:space="0" w:color="auto"/>
            </w:tcBorders>
            <w:noWrap/>
            <w:vAlign w:val="bottom"/>
            <w:hideMark/>
          </w:tcPr>
          <w:p w:rsidR="0032260F" w:rsidRPr="0032260F" w:rsidRDefault="0032260F" w:rsidP="0030649E">
            <w:pPr>
              <w:jc w:val="center"/>
              <w:rPr>
                <w:sz w:val="20"/>
              </w:rPr>
            </w:pPr>
            <w:r w:rsidRPr="0032260F">
              <w:rPr>
                <w:bCs/>
                <w:sz w:val="20"/>
              </w:rPr>
              <w:t>Перевозка контейнера в междугородном сообщении свыше 150 км, км</w:t>
            </w:r>
          </w:p>
        </w:tc>
        <w:tc>
          <w:tcPr>
            <w:tcW w:w="959" w:type="dxa"/>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bCs/>
                <w:sz w:val="20"/>
              </w:rPr>
            </w:pPr>
            <w:r w:rsidRPr="0032260F">
              <w:rPr>
                <w:bCs/>
                <w:sz w:val="20"/>
              </w:rPr>
              <w:t>40 фут</w:t>
            </w:r>
          </w:p>
        </w:tc>
        <w:tc>
          <w:tcPr>
            <w:tcW w:w="992" w:type="dxa"/>
            <w:tcBorders>
              <w:top w:val="single" w:sz="4" w:space="0" w:color="auto"/>
              <w:left w:val="nil"/>
              <w:bottom w:val="single" w:sz="4" w:space="0" w:color="000000"/>
              <w:right w:val="single" w:sz="4" w:space="0" w:color="auto"/>
            </w:tcBorders>
            <w:vAlign w:val="bottom"/>
          </w:tcPr>
          <w:p w:rsidR="0032260F" w:rsidRPr="0032260F" w:rsidRDefault="0032260F" w:rsidP="0030649E">
            <w:pPr>
              <w:jc w:val="center"/>
              <w:rPr>
                <w:bCs/>
                <w:sz w:val="20"/>
              </w:rPr>
            </w:pPr>
            <w:r w:rsidRPr="0032260F">
              <w:rPr>
                <w:bCs/>
                <w:sz w:val="20"/>
              </w:rPr>
              <w:t>30 тн</w:t>
            </w:r>
          </w:p>
        </w:tc>
        <w:tc>
          <w:tcPr>
            <w:tcW w:w="992" w:type="dxa"/>
            <w:tcBorders>
              <w:top w:val="single" w:sz="4" w:space="0" w:color="auto"/>
              <w:left w:val="single" w:sz="4" w:space="0" w:color="auto"/>
              <w:bottom w:val="single" w:sz="4" w:space="0" w:color="000000"/>
              <w:right w:val="single" w:sz="4" w:space="0" w:color="auto"/>
            </w:tcBorders>
            <w:vAlign w:val="bottom"/>
          </w:tcPr>
          <w:p w:rsidR="0032260F" w:rsidRPr="0032260F" w:rsidRDefault="0032260F" w:rsidP="0030649E">
            <w:pPr>
              <w:jc w:val="center"/>
              <w:rPr>
                <w:bCs/>
                <w:sz w:val="20"/>
              </w:rPr>
            </w:pPr>
            <w:r w:rsidRPr="0032260F">
              <w:rPr>
                <w:bCs/>
                <w:sz w:val="20"/>
              </w:rPr>
              <w:t>24 тн</w:t>
            </w:r>
          </w:p>
        </w:tc>
        <w:tc>
          <w:tcPr>
            <w:tcW w:w="992" w:type="dxa"/>
            <w:tcBorders>
              <w:top w:val="single" w:sz="4" w:space="0" w:color="auto"/>
              <w:left w:val="single" w:sz="4" w:space="0" w:color="auto"/>
              <w:bottom w:val="single" w:sz="4" w:space="0" w:color="000000"/>
              <w:right w:val="single" w:sz="4" w:space="0" w:color="000000"/>
            </w:tcBorders>
            <w:vAlign w:val="bottom"/>
          </w:tcPr>
          <w:p w:rsidR="0032260F" w:rsidRPr="0032260F" w:rsidRDefault="0032260F" w:rsidP="0030649E">
            <w:pPr>
              <w:jc w:val="center"/>
              <w:rPr>
                <w:bCs/>
                <w:sz w:val="20"/>
              </w:rPr>
            </w:pPr>
            <w:r w:rsidRPr="0032260F">
              <w:rPr>
                <w:bCs/>
                <w:sz w:val="20"/>
              </w:rPr>
              <w:t>20 тн</w:t>
            </w:r>
          </w:p>
        </w:tc>
        <w:tc>
          <w:tcPr>
            <w:tcW w:w="993"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bCs/>
                <w:sz w:val="20"/>
              </w:rPr>
            </w:pPr>
            <w:r w:rsidRPr="0032260F">
              <w:rPr>
                <w:bCs/>
                <w:sz w:val="20"/>
              </w:rPr>
              <w:t>3-х тонный</w:t>
            </w:r>
          </w:p>
        </w:tc>
        <w:tc>
          <w:tcPr>
            <w:tcW w:w="992"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bCs/>
                <w:sz w:val="20"/>
              </w:rPr>
            </w:pPr>
            <w:r w:rsidRPr="0032260F">
              <w:rPr>
                <w:bCs/>
                <w:sz w:val="20"/>
              </w:rPr>
              <w:t>5-и тонный</w:t>
            </w:r>
          </w:p>
        </w:tc>
      </w:tr>
      <w:tr w:rsidR="0032260F" w:rsidRPr="0032260F" w:rsidTr="0030649E">
        <w:trPr>
          <w:trHeight w:val="657"/>
        </w:trPr>
        <w:tc>
          <w:tcPr>
            <w:tcW w:w="3544" w:type="dxa"/>
            <w:vMerge/>
            <w:tcBorders>
              <w:left w:val="single" w:sz="4" w:space="0" w:color="auto"/>
              <w:bottom w:val="single" w:sz="4" w:space="0" w:color="000000"/>
              <w:right w:val="single" w:sz="4" w:space="0" w:color="auto"/>
            </w:tcBorders>
            <w:noWrap/>
            <w:vAlign w:val="bottom"/>
            <w:hideMark/>
          </w:tcPr>
          <w:p w:rsidR="0032260F" w:rsidRPr="0032260F" w:rsidRDefault="0032260F" w:rsidP="0030649E">
            <w:pPr>
              <w:rPr>
                <w:sz w:val="20"/>
              </w:rPr>
            </w:pPr>
          </w:p>
        </w:tc>
        <w:tc>
          <w:tcPr>
            <w:tcW w:w="959" w:type="dxa"/>
            <w:tcBorders>
              <w:top w:val="single" w:sz="4" w:space="0" w:color="000000"/>
              <w:left w:val="single" w:sz="4" w:space="0" w:color="auto"/>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bCs/>
                <w:sz w:val="20"/>
              </w:rPr>
              <w:t>37,37</w:t>
            </w:r>
          </w:p>
        </w:tc>
        <w:tc>
          <w:tcPr>
            <w:tcW w:w="992" w:type="dxa"/>
            <w:tcBorders>
              <w:top w:val="single" w:sz="4" w:space="0" w:color="000000"/>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bCs/>
                <w:sz w:val="20"/>
              </w:rPr>
              <w:t>34,56</w:t>
            </w:r>
          </w:p>
        </w:tc>
        <w:tc>
          <w:tcPr>
            <w:tcW w:w="992" w:type="dxa"/>
            <w:tcBorders>
              <w:top w:val="single" w:sz="4" w:space="0" w:color="000000"/>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bCs/>
                <w:sz w:val="20"/>
              </w:rPr>
              <w:t>32,88</w:t>
            </w:r>
          </w:p>
        </w:tc>
        <w:tc>
          <w:tcPr>
            <w:tcW w:w="992" w:type="dxa"/>
            <w:tcBorders>
              <w:top w:val="single" w:sz="4" w:space="0" w:color="000000"/>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bCs/>
                <w:sz w:val="20"/>
              </w:rPr>
              <w:t>31</w:t>
            </w:r>
          </w:p>
        </w:tc>
        <w:tc>
          <w:tcPr>
            <w:tcW w:w="993" w:type="dxa"/>
            <w:tcBorders>
              <w:top w:val="single" w:sz="4" w:space="0" w:color="000000"/>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bCs/>
                <w:sz w:val="20"/>
              </w:rPr>
              <w:t>25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bCs/>
                <w:sz w:val="20"/>
              </w:rPr>
              <w:t>25</w:t>
            </w:r>
          </w:p>
        </w:tc>
      </w:tr>
      <w:tr w:rsidR="0032260F" w:rsidRPr="0032260F" w:rsidTr="0030649E">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32260F" w:rsidRPr="0032260F" w:rsidRDefault="0032260F" w:rsidP="0030649E">
            <w:pPr>
              <w:rPr>
                <w:sz w:val="20"/>
              </w:rPr>
            </w:pPr>
            <w:r w:rsidRPr="0032260F">
              <w:rPr>
                <w:sz w:val="20"/>
              </w:rP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32260F" w:rsidRPr="0032260F" w:rsidRDefault="0032260F" w:rsidP="0030649E">
            <w:pPr>
              <w:jc w:val="center"/>
              <w:rPr>
                <w:sz w:val="20"/>
              </w:rPr>
            </w:pPr>
            <w:r w:rsidRPr="0032260F">
              <w:rPr>
                <w:sz w:val="20"/>
              </w:rPr>
              <w:t>3,5</w:t>
            </w:r>
          </w:p>
        </w:tc>
        <w:tc>
          <w:tcPr>
            <w:tcW w:w="992" w:type="dxa"/>
            <w:tcBorders>
              <w:top w:val="single" w:sz="4" w:space="0" w:color="auto"/>
              <w:left w:val="nil"/>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2,5</w:t>
            </w:r>
          </w:p>
        </w:tc>
        <w:tc>
          <w:tcPr>
            <w:tcW w:w="992" w:type="dxa"/>
            <w:tcBorders>
              <w:top w:val="single" w:sz="4" w:space="0" w:color="auto"/>
              <w:left w:val="single" w:sz="4" w:space="0" w:color="auto"/>
              <w:bottom w:val="single" w:sz="4" w:space="0" w:color="000000"/>
              <w:right w:val="single" w:sz="4" w:space="0" w:color="auto"/>
            </w:tcBorders>
            <w:vAlign w:val="bottom"/>
          </w:tcPr>
          <w:p w:rsidR="0032260F" w:rsidRPr="0032260F" w:rsidRDefault="0032260F" w:rsidP="0030649E">
            <w:pPr>
              <w:jc w:val="center"/>
              <w:rPr>
                <w:sz w:val="20"/>
              </w:rPr>
            </w:pPr>
            <w:r w:rsidRPr="0032260F">
              <w:rPr>
                <w:sz w:val="20"/>
              </w:rPr>
              <w:t>2,5</w:t>
            </w:r>
          </w:p>
        </w:tc>
        <w:tc>
          <w:tcPr>
            <w:tcW w:w="992" w:type="dxa"/>
            <w:tcBorders>
              <w:top w:val="single" w:sz="4" w:space="0" w:color="auto"/>
              <w:left w:val="single" w:sz="4" w:space="0" w:color="auto"/>
              <w:bottom w:val="single" w:sz="4" w:space="0" w:color="000000"/>
              <w:right w:val="single" w:sz="4" w:space="0" w:color="000000"/>
            </w:tcBorders>
            <w:vAlign w:val="bottom"/>
          </w:tcPr>
          <w:p w:rsidR="0032260F" w:rsidRPr="0032260F" w:rsidRDefault="0032260F" w:rsidP="0030649E">
            <w:pPr>
              <w:jc w:val="center"/>
              <w:rPr>
                <w:sz w:val="20"/>
              </w:rPr>
            </w:pPr>
            <w:r w:rsidRPr="0032260F">
              <w:rPr>
                <w:sz w:val="20"/>
              </w:rPr>
              <w:t>2,5</w:t>
            </w:r>
          </w:p>
        </w:tc>
        <w:tc>
          <w:tcPr>
            <w:tcW w:w="993"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32260F" w:rsidRPr="0032260F" w:rsidRDefault="0032260F" w:rsidP="0030649E">
            <w:pPr>
              <w:jc w:val="center"/>
              <w:rPr>
                <w:sz w:val="20"/>
              </w:rPr>
            </w:pPr>
            <w:r w:rsidRPr="0032260F">
              <w:rPr>
                <w:sz w:val="20"/>
              </w:rPr>
              <w:t>1,5</w:t>
            </w:r>
          </w:p>
        </w:tc>
      </w:tr>
      <w:tr w:rsidR="0032260F" w:rsidRPr="0032260F" w:rsidTr="0030649E">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32260F" w:rsidRPr="0032260F" w:rsidRDefault="0032260F" w:rsidP="0030649E">
            <w:pPr>
              <w:rPr>
                <w:sz w:val="20"/>
              </w:rPr>
            </w:pPr>
            <w:r w:rsidRPr="0032260F">
              <w:rPr>
                <w:sz w:val="20"/>
              </w:rPr>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32260F" w:rsidRPr="0032260F" w:rsidRDefault="0032260F" w:rsidP="0030649E">
            <w:pPr>
              <w:jc w:val="center"/>
              <w:rPr>
                <w:bCs/>
                <w:sz w:val="20"/>
              </w:rPr>
            </w:pPr>
            <w:r w:rsidRPr="0032260F">
              <w:rPr>
                <w:bCs/>
                <w:sz w:val="20"/>
              </w:rPr>
              <w:t>1127</w:t>
            </w:r>
          </w:p>
        </w:tc>
        <w:tc>
          <w:tcPr>
            <w:tcW w:w="992" w:type="dxa"/>
            <w:tcBorders>
              <w:top w:val="nil"/>
              <w:left w:val="nil"/>
              <w:bottom w:val="single" w:sz="4" w:space="0" w:color="auto"/>
              <w:right w:val="single" w:sz="4" w:space="0" w:color="auto"/>
            </w:tcBorders>
            <w:vAlign w:val="bottom"/>
          </w:tcPr>
          <w:p w:rsidR="0032260F" w:rsidRPr="0032260F" w:rsidRDefault="0032260F" w:rsidP="0030649E">
            <w:pPr>
              <w:jc w:val="center"/>
              <w:rPr>
                <w:bCs/>
                <w:sz w:val="20"/>
              </w:rPr>
            </w:pPr>
            <w:r w:rsidRPr="0032260F">
              <w:rPr>
                <w:bCs/>
                <w:sz w:val="20"/>
              </w:rPr>
              <w:t>1016</w:t>
            </w:r>
          </w:p>
        </w:tc>
        <w:tc>
          <w:tcPr>
            <w:tcW w:w="992" w:type="dxa"/>
            <w:tcBorders>
              <w:top w:val="nil"/>
              <w:left w:val="single" w:sz="4" w:space="0" w:color="auto"/>
              <w:bottom w:val="single" w:sz="4" w:space="0" w:color="auto"/>
              <w:right w:val="single" w:sz="4" w:space="0" w:color="auto"/>
            </w:tcBorders>
            <w:vAlign w:val="bottom"/>
          </w:tcPr>
          <w:p w:rsidR="0032260F" w:rsidRPr="0032260F" w:rsidRDefault="0032260F" w:rsidP="0030649E">
            <w:pPr>
              <w:jc w:val="center"/>
              <w:rPr>
                <w:bCs/>
                <w:sz w:val="20"/>
              </w:rPr>
            </w:pPr>
            <w:r w:rsidRPr="0032260F">
              <w:rPr>
                <w:bCs/>
                <w:sz w:val="20"/>
              </w:rPr>
              <w:t>950</w:t>
            </w:r>
          </w:p>
        </w:tc>
        <w:tc>
          <w:tcPr>
            <w:tcW w:w="992" w:type="dxa"/>
            <w:tcBorders>
              <w:top w:val="nil"/>
              <w:left w:val="single" w:sz="4" w:space="0" w:color="auto"/>
              <w:bottom w:val="single" w:sz="4" w:space="0" w:color="auto"/>
              <w:right w:val="single" w:sz="4" w:space="0" w:color="000000"/>
            </w:tcBorders>
            <w:vAlign w:val="bottom"/>
          </w:tcPr>
          <w:p w:rsidR="0032260F" w:rsidRPr="0032260F" w:rsidRDefault="0032260F" w:rsidP="0030649E">
            <w:pPr>
              <w:jc w:val="center"/>
              <w:rPr>
                <w:bCs/>
                <w:sz w:val="20"/>
              </w:rPr>
            </w:pPr>
            <w:r w:rsidRPr="0032260F">
              <w:rPr>
                <w:bCs/>
                <w:sz w:val="20"/>
              </w:rPr>
              <w:t>863</w:t>
            </w:r>
          </w:p>
        </w:tc>
        <w:tc>
          <w:tcPr>
            <w:tcW w:w="993"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463</w:t>
            </w:r>
          </w:p>
        </w:tc>
        <w:tc>
          <w:tcPr>
            <w:tcW w:w="992" w:type="dxa"/>
            <w:tcBorders>
              <w:top w:val="nil"/>
              <w:left w:val="single" w:sz="4" w:space="0" w:color="auto"/>
              <w:bottom w:val="single" w:sz="4" w:space="0" w:color="auto"/>
              <w:right w:val="single" w:sz="4" w:space="0" w:color="auto"/>
            </w:tcBorders>
            <w:vAlign w:val="bottom"/>
            <w:hideMark/>
          </w:tcPr>
          <w:p w:rsidR="0032260F" w:rsidRPr="0032260F" w:rsidRDefault="0032260F" w:rsidP="0030649E">
            <w:pPr>
              <w:jc w:val="center"/>
              <w:rPr>
                <w:sz w:val="20"/>
              </w:rPr>
            </w:pPr>
            <w:r w:rsidRPr="0032260F">
              <w:rPr>
                <w:sz w:val="20"/>
              </w:rPr>
              <w:t>500</w:t>
            </w:r>
          </w:p>
        </w:tc>
      </w:tr>
    </w:tbl>
    <w:p w:rsidR="007D364E" w:rsidRDefault="007D364E" w:rsidP="003B7BB5">
      <w:pPr>
        <w:rPr>
          <w:sz w:val="22"/>
          <w:szCs w:val="22"/>
        </w:rPr>
      </w:pPr>
    </w:p>
    <w:p w:rsidR="003B7BB5" w:rsidRDefault="003B7BB5" w:rsidP="003B7BB5">
      <w:pPr>
        <w:rPr>
          <w:sz w:val="22"/>
          <w:szCs w:val="22"/>
        </w:rPr>
      </w:pPr>
    </w:p>
    <w:p w:rsidR="003B7BB5" w:rsidRDefault="003B7BB5" w:rsidP="003B7BB5">
      <w:pPr>
        <w:rPr>
          <w:sz w:val="22"/>
          <w:szCs w:val="22"/>
        </w:rPr>
      </w:pPr>
    </w:p>
    <w:p w:rsidR="003B7BB5" w:rsidRDefault="003B7BB5" w:rsidP="003B7BB5">
      <w:pPr>
        <w:rPr>
          <w:sz w:val="22"/>
          <w:szCs w:val="22"/>
        </w:rPr>
      </w:pPr>
    </w:p>
    <w:p w:rsidR="003B7BB5" w:rsidRDefault="003B7BB5" w:rsidP="003B7BB5">
      <w:pPr>
        <w:rPr>
          <w:sz w:val="22"/>
          <w:szCs w:val="22"/>
        </w:rPr>
      </w:pPr>
    </w:p>
    <w:p w:rsidR="003B7BB5" w:rsidRDefault="003B7BB5" w:rsidP="003B7BB5">
      <w:pPr>
        <w:rPr>
          <w:sz w:val="22"/>
          <w:szCs w:val="22"/>
        </w:rPr>
      </w:pPr>
    </w:p>
    <w:p w:rsidR="003B7BB5" w:rsidRDefault="003B7BB5" w:rsidP="003B7BB5">
      <w:pPr>
        <w:rPr>
          <w:sz w:val="22"/>
          <w:szCs w:val="22"/>
        </w:rPr>
      </w:pPr>
    </w:p>
    <w:p w:rsidR="007D364E" w:rsidRDefault="007D364E" w:rsidP="00AE1AD0">
      <w:pPr>
        <w:jc w:val="right"/>
        <w:rPr>
          <w:sz w:val="22"/>
          <w:szCs w:val="22"/>
        </w:rPr>
      </w:pPr>
    </w:p>
    <w:p w:rsidR="009A0126" w:rsidRDefault="009A0126" w:rsidP="00AE1AD0">
      <w:pPr>
        <w:jc w:val="right"/>
        <w:rPr>
          <w:sz w:val="22"/>
          <w:szCs w:val="22"/>
        </w:rPr>
      </w:pPr>
    </w:p>
    <w:p w:rsidR="009A0126" w:rsidRDefault="009A0126" w:rsidP="00AE1AD0">
      <w:pPr>
        <w:jc w:val="right"/>
        <w:rPr>
          <w:sz w:val="22"/>
          <w:szCs w:val="22"/>
        </w:rPr>
      </w:pPr>
    </w:p>
    <w:p w:rsidR="003B7BB5" w:rsidRDefault="003B7BB5" w:rsidP="00AE1AD0">
      <w:pPr>
        <w:jc w:val="right"/>
        <w:rPr>
          <w:sz w:val="22"/>
          <w:szCs w:val="22"/>
        </w:rPr>
      </w:pPr>
    </w:p>
    <w:p w:rsidR="009A0126" w:rsidRDefault="009A0126" w:rsidP="009A0126">
      <w:pPr>
        <w:rPr>
          <w:sz w:val="22"/>
          <w:szCs w:val="22"/>
        </w:rPr>
      </w:pPr>
    </w:p>
    <w:sectPr w:rsidR="009A0126" w:rsidSect="003B7BB5">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B9" w:rsidRDefault="00B643B9" w:rsidP="00B470FA">
      <w:r>
        <w:separator/>
      </w:r>
    </w:p>
  </w:endnote>
  <w:endnote w:type="continuationSeparator" w:id="1">
    <w:p w:rsidR="00B643B9" w:rsidRDefault="00B643B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B9" w:rsidRDefault="00B643B9" w:rsidP="00B470FA">
      <w:r>
        <w:separator/>
      </w:r>
    </w:p>
  </w:footnote>
  <w:footnote w:type="continuationSeparator" w:id="1">
    <w:p w:rsidR="00B643B9" w:rsidRDefault="00B643B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E37414" w:rsidRPr="00636E16" w:rsidRDefault="00230D3E" w:rsidP="00636E16">
        <w:pPr>
          <w:pStyle w:val="aff"/>
          <w:jc w:val="center"/>
          <w:rPr>
            <w:sz w:val="24"/>
            <w:szCs w:val="24"/>
          </w:rPr>
        </w:pPr>
        <w:r w:rsidRPr="00636E16">
          <w:rPr>
            <w:sz w:val="24"/>
            <w:szCs w:val="24"/>
          </w:rPr>
          <w:fldChar w:fldCharType="begin"/>
        </w:r>
        <w:r w:rsidR="00E37414" w:rsidRPr="00636E16">
          <w:rPr>
            <w:sz w:val="24"/>
            <w:szCs w:val="24"/>
          </w:rPr>
          <w:instrText>PAGE   \* MERGEFORMAT</w:instrText>
        </w:r>
        <w:r w:rsidRPr="00636E16">
          <w:rPr>
            <w:sz w:val="24"/>
            <w:szCs w:val="24"/>
          </w:rPr>
          <w:fldChar w:fldCharType="separate"/>
        </w:r>
        <w:r w:rsidR="00033709">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44D4007"/>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D00D1"/>
    <w:multiLevelType w:val="multilevel"/>
    <w:tmpl w:val="A502A5B8"/>
    <w:lvl w:ilvl="0">
      <w:start w:val="2"/>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2">
    <w:nsid w:val="3ACB4515"/>
    <w:multiLevelType w:val="hybridMultilevel"/>
    <w:tmpl w:val="8CD67DC2"/>
    <w:lvl w:ilvl="0" w:tplc="0409000F">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5B3C59FE"/>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6"/>
  </w:num>
  <w:num w:numId="2">
    <w:abstractNumId w:val="13"/>
  </w:num>
  <w:num w:numId="3">
    <w:abstractNumId w:val="9"/>
  </w:num>
  <w:num w:numId="4">
    <w:abstractNumId w:val="8"/>
  </w:num>
  <w:num w:numId="5">
    <w:abstractNumId w:val="0"/>
  </w:num>
  <w:num w:numId="6">
    <w:abstractNumId w:val="15"/>
  </w:num>
  <w:num w:numId="7">
    <w:abstractNumId w:val="11"/>
  </w:num>
  <w:num w:numId="8">
    <w:abstractNumId w:val="12"/>
  </w:num>
  <w:num w:numId="9">
    <w:abstractNumId w:val="7"/>
  </w:num>
  <w:num w:numId="1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709"/>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014"/>
    <w:rsid w:val="00096AD7"/>
    <w:rsid w:val="00096DB2"/>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9C0"/>
    <w:rsid w:val="000B4FCD"/>
    <w:rsid w:val="000B528A"/>
    <w:rsid w:val="000B79B9"/>
    <w:rsid w:val="000B7E67"/>
    <w:rsid w:val="000C1659"/>
    <w:rsid w:val="000C1B0B"/>
    <w:rsid w:val="000C2A8B"/>
    <w:rsid w:val="000C2CC6"/>
    <w:rsid w:val="000C35D9"/>
    <w:rsid w:val="000C372F"/>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777AA"/>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500C"/>
    <w:rsid w:val="00195092"/>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B7431"/>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D6D"/>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07D"/>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0D3E"/>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3F5"/>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6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E06"/>
    <w:rsid w:val="0030649E"/>
    <w:rsid w:val="003069F1"/>
    <w:rsid w:val="00307C7E"/>
    <w:rsid w:val="003101B5"/>
    <w:rsid w:val="003103F6"/>
    <w:rsid w:val="0031057F"/>
    <w:rsid w:val="00310C32"/>
    <w:rsid w:val="00313408"/>
    <w:rsid w:val="003137E0"/>
    <w:rsid w:val="00314B0F"/>
    <w:rsid w:val="0031574D"/>
    <w:rsid w:val="00316C0C"/>
    <w:rsid w:val="00317C10"/>
    <w:rsid w:val="0032260F"/>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5D4"/>
    <w:rsid w:val="003B1974"/>
    <w:rsid w:val="003B2333"/>
    <w:rsid w:val="003B2C0C"/>
    <w:rsid w:val="003B502B"/>
    <w:rsid w:val="003B55F4"/>
    <w:rsid w:val="003B69E5"/>
    <w:rsid w:val="003B6CFD"/>
    <w:rsid w:val="003B7BB5"/>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5CCE"/>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59B"/>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90A"/>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035B"/>
    <w:rsid w:val="00651A69"/>
    <w:rsid w:val="00653CDF"/>
    <w:rsid w:val="00655E9B"/>
    <w:rsid w:val="00656237"/>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95"/>
    <w:rsid w:val="006B26B4"/>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72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64E"/>
    <w:rsid w:val="007D3A6C"/>
    <w:rsid w:val="007D49DB"/>
    <w:rsid w:val="007D4AC4"/>
    <w:rsid w:val="007D4B58"/>
    <w:rsid w:val="007D589F"/>
    <w:rsid w:val="007D6E17"/>
    <w:rsid w:val="007D6FC1"/>
    <w:rsid w:val="007E009C"/>
    <w:rsid w:val="007E08B1"/>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2F4"/>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288"/>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126"/>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478D"/>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0C0"/>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908"/>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07F1"/>
    <w:rsid w:val="00AB2936"/>
    <w:rsid w:val="00AB2D04"/>
    <w:rsid w:val="00AB37D2"/>
    <w:rsid w:val="00AB48DE"/>
    <w:rsid w:val="00AB4A8F"/>
    <w:rsid w:val="00AB4E0C"/>
    <w:rsid w:val="00AB6EBB"/>
    <w:rsid w:val="00AB7482"/>
    <w:rsid w:val="00AC0041"/>
    <w:rsid w:val="00AC0105"/>
    <w:rsid w:val="00AC024E"/>
    <w:rsid w:val="00AC0F96"/>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34D"/>
    <w:rsid w:val="00AF5455"/>
    <w:rsid w:val="00AF6F41"/>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04E"/>
    <w:rsid w:val="00B45587"/>
    <w:rsid w:val="00B46C1B"/>
    <w:rsid w:val="00B46F98"/>
    <w:rsid w:val="00B470FA"/>
    <w:rsid w:val="00B50E9A"/>
    <w:rsid w:val="00B5265B"/>
    <w:rsid w:val="00B52F2A"/>
    <w:rsid w:val="00B53148"/>
    <w:rsid w:val="00B53843"/>
    <w:rsid w:val="00B539D1"/>
    <w:rsid w:val="00B5466C"/>
    <w:rsid w:val="00B546B6"/>
    <w:rsid w:val="00B54A31"/>
    <w:rsid w:val="00B55282"/>
    <w:rsid w:val="00B564CF"/>
    <w:rsid w:val="00B56BC3"/>
    <w:rsid w:val="00B612B0"/>
    <w:rsid w:val="00B61CD9"/>
    <w:rsid w:val="00B62B03"/>
    <w:rsid w:val="00B630BA"/>
    <w:rsid w:val="00B64397"/>
    <w:rsid w:val="00B643B9"/>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0F8E"/>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443"/>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F11"/>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959"/>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C744E"/>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37414"/>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890"/>
    <w:rsid w:val="00E9613E"/>
    <w:rsid w:val="00E96842"/>
    <w:rsid w:val="00E97723"/>
    <w:rsid w:val="00E97E25"/>
    <w:rsid w:val="00EA0CF7"/>
    <w:rsid w:val="00EA1383"/>
    <w:rsid w:val="00EA1838"/>
    <w:rsid w:val="00EA2D9F"/>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3C58"/>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50"/>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0C"/>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AD4C-C73B-4DB6-87CF-285CD16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2014-05-22T14:32:00Z</cp:lastPrinted>
  <dcterms:created xsi:type="dcterms:W3CDTF">2014-06-11T13:59:00Z</dcterms:created>
  <dcterms:modified xsi:type="dcterms:W3CDTF">2014-06-11T13:59:00Z</dcterms:modified>
</cp:coreProperties>
</file>