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C003F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23</w:t>
      </w:r>
      <w:bookmarkStart w:id="0" w:name="_GoBack"/>
      <w:bookmarkEnd w:id="0"/>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BF3F06">
        <w:rPr>
          <w:b/>
          <w:bCs/>
          <w:szCs w:val="28"/>
          <w:lang w:val="en-US"/>
        </w:rPr>
        <w:t>7</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BF3F06">
        <w:trPr>
          <w:trHeight w:val="71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EF420E" w:rsidP="0057231E">
            <w:pPr>
              <w:ind w:left="176" w:hanging="142"/>
              <w:rPr>
                <w:szCs w:val="28"/>
              </w:rPr>
            </w:pPr>
            <w:r>
              <w:rPr>
                <w:szCs w:val="28"/>
              </w:rPr>
              <w:t>- заместитель председателя комиссии</w:t>
            </w:r>
          </w:p>
        </w:tc>
      </w:tr>
      <w:tr w:rsidR="009C309D" w:rsidRPr="00161575" w:rsidTr="00BF3F06">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BF3F06" w:rsidRPr="00161575" w:rsidTr="0057231E">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BF3F06">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r w:rsidR="00BF3F06" w:rsidRPr="00161575" w:rsidTr="0057231E">
        <w:tc>
          <w:tcPr>
            <w:tcW w:w="2517" w:type="dxa"/>
          </w:tcPr>
          <w:p w:rsidR="00BF3F06" w:rsidRPr="00161575" w:rsidRDefault="00BF3F06" w:rsidP="00553631">
            <w:pPr>
              <w:rPr>
                <w:szCs w:val="28"/>
              </w:rPr>
            </w:pPr>
          </w:p>
        </w:tc>
        <w:tc>
          <w:tcPr>
            <w:tcW w:w="4962" w:type="dxa"/>
          </w:tcPr>
          <w:p w:rsidR="00BF3F06" w:rsidRPr="00161575" w:rsidRDefault="00BF3F06" w:rsidP="00265961">
            <w:pPr>
              <w:rPr>
                <w:szCs w:val="28"/>
              </w:rPr>
            </w:pPr>
          </w:p>
        </w:tc>
        <w:tc>
          <w:tcPr>
            <w:tcW w:w="2399" w:type="dxa"/>
          </w:tcPr>
          <w:p w:rsidR="00BF3F06" w:rsidRPr="00161575" w:rsidRDefault="00BF3F06"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02F12" w:rsidRDefault="00002F12" w:rsidP="005F410F">
      <w:pPr>
        <w:pStyle w:val="a6"/>
        <w:tabs>
          <w:tab w:val="left" w:pos="142"/>
          <w:tab w:val="left" w:pos="709"/>
          <w:tab w:val="left" w:pos="2800"/>
          <w:tab w:val="left" w:pos="7700"/>
        </w:tabs>
        <w:ind w:firstLine="709"/>
        <w:jc w:val="left"/>
        <w:rPr>
          <w:b/>
          <w:i w:val="0"/>
          <w:u w:val="single"/>
          <w:lang w:val="en-US"/>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923D3D" w:rsidRPr="00923D3D" w:rsidRDefault="00923D3D" w:rsidP="00923D3D">
      <w:pPr>
        <w:pStyle w:val="13"/>
        <w:numPr>
          <w:ilvl w:val="0"/>
          <w:numId w:val="8"/>
        </w:numPr>
        <w:tabs>
          <w:tab w:val="left" w:pos="709"/>
        </w:tabs>
        <w:suppressAutoHyphens/>
        <w:rPr>
          <w:szCs w:val="28"/>
        </w:rPr>
      </w:pPr>
      <w:r w:rsidRPr="00923D3D">
        <w:rPr>
          <w:szCs w:val="28"/>
        </w:rPr>
        <w:t>Подведение итогов закупки способом размещения оферты на право заключения договора (договоров) аренды  650 ед. 20 футовых танк-контейнеров в  2014-2017 годах.</w:t>
      </w:r>
    </w:p>
    <w:p w:rsidR="00923D3D" w:rsidRPr="00923D3D" w:rsidRDefault="00923D3D" w:rsidP="00923D3D">
      <w:pPr>
        <w:ind w:left="709"/>
        <w:jc w:val="both"/>
        <w:rPr>
          <w:szCs w:val="28"/>
        </w:rPr>
      </w:pPr>
      <w:r w:rsidRPr="00923D3D">
        <w:rPr>
          <w:szCs w:val="28"/>
        </w:rPr>
        <w:t>Докладчик: ЦКПСКН Годовиков Д.А.</w:t>
      </w:r>
    </w:p>
    <w:p w:rsidR="00923D3D" w:rsidRPr="00923D3D" w:rsidRDefault="00923D3D" w:rsidP="00923D3D">
      <w:pPr>
        <w:ind w:left="720"/>
        <w:jc w:val="both"/>
        <w:rPr>
          <w:szCs w:val="28"/>
          <w:shd w:val="clear" w:color="auto" w:fill="FFFFFF"/>
        </w:rPr>
      </w:pPr>
      <w:r w:rsidRPr="00923D3D">
        <w:rPr>
          <w:szCs w:val="28"/>
        </w:rPr>
        <w:t>Заявки в АСБК: Т10050307, Т10050308, Т10050314.</w:t>
      </w:r>
    </w:p>
    <w:p w:rsidR="00C8276F" w:rsidRDefault="00923D3D" w:rsidP="00923D3D">
      <w:pPr>
        <w:ind w:firstLine="708"/>
        <w:jc w:val="both"/>
        <w:rPr>
          <w:color w:val="000000"/>
          <w:szCs w:val="28"/>
        </w:rPr>
      </w:pPr>
      <w:r w:rsidRPr="00923D3D">
        <w:rPr>
          <w:szCs w:val="28"/>
        </w:rPr>
        <w:t xml:space="preserve">Конкурс: </w:t>
      </w:r>
      <w:r w:rsidRPr="00923D3D">
        <w:rPr>
          <w:color w:val="000000"/>
          <w:szCs w:val="28"/>
        </w:rPr>
        <w:t>РО/004/ЦКПСКН/0038</w:t>
      </w:r>
    </w:p>
    <w:p w:rsidR="00620133" w:rsidRPr="00620133" w:rsidRDefault="00620133" w:rsidP="00923D3D">
      <w:pPr>
        <w:ind w:firstLine="708"/>
        <w:jc w:val="both"/>
        <w:rPr>
          <w:color w:val="000000"/>
          <w:szCs w:val="28"/>
        </w:rPr>
      </w:pPr>
    </w:p>
    <w:p w:rsidR="001E7105" w:rsidRPr="00002F12" w:rsidRDefault="00002F12" w:rsidP="001E7105">
      <w:pPr>
        <w:ind w:left="720"/>
        <w:jc w:val="both"/>
        <w:rPr>
          <w:lang w:val="en-US"/>
        </w:rPr>
      </w:pPr>
      <w:r>
        <w:rPr>
          <w:lang w:val="en-US"/>
        </w:rPr>
        <w:t>…</w:t>
      </w:r>
    </w:p>
    <w:p w:rsidR="00E41C00" w:rsidRPr="001A3085" w:rsidRDefault="00E41C00" w:rsidP="001E7105">
      <w:pPr>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6C33A0" w:rsidRPr="003A0CFE" w:rsidRDefault="006C33A0" w:rsidP="006C33A0">
      <w:pPr>
        <w:pStyle w:val="Default"/>
        <w:numPr>
          <w:ilvl w:val="0"/>
          <w:numId w:val="7"/>
        </w:numPr>
        <w:ind w:left="0" w:firstLine="709"/>
        <w:jc w:val="both"/>
        <w:rPr>
          <w:sz w:val="28"/>
          <w:szCs w:val="28"/>
        </w:rPr>
      </w:pPr>
      <w:r w:rsidRPr="003A0CFE">
        <w:rPr>
          <w:sz w:val="28"/>
          <w:szCs w:val="28"/>
        </w:rPr>
        <w:t xml:space="preserve">Согласиться с выводами и предложениями Постоянной рабочей группы Конкурсной комиссии аппарата управления (Протокол № 45/ПРГ заседания, состоявшегося 16 мая 2014 г.) в части принятия решения допустить к участию в закупке способом размещения оферты EXSIF WORLDWIDE,       </w:t>
      </w:r>
      <w:r>
        <w:rPr>
          <w:sz w:val="28"/>
          <w:szCs w:val="28"/>
        </w:rPr>
        <w:t xml:space="preserve">    </w:t>
      </w:r>
      <w:r w:rsidRPr="003A0CFE">
        <w:rPr>
          <w:sz w:val="28"/>
          <w:szCs w:val="28"/>
        </w:rPr>
        <w:t>ООО «РокоНорд».</w:t>
      </w:r>
    </w:p>
    <w:p w:rsidR="006C33A0" w:rsidRPr="003A0CFE" w:rsidRDefault="006C33A0" w:rsidP="006C33A0">
      <w:pPr>
        <w:pStyle w:val="Default"/>
        <w:numPr>
          <w:ilvl w:val="0"/>
          <w:numId w:val="7"/>
        </w:numPr>
        <w:ind w:left="0" w:firstLine="709"/>
        <w:jc w:val="both"/>
        <w:rPr>
          <w:sz w:val="28"/>
          <w:szCs w:val="28"/>
        </w:rPr>
      </w:pPr>
      <w:r w:rsidRPr="003A0CFE">
        <w:rPr>
          <w:sz w:val="28"/>
          <w:szCs w:val="28"/>
        </w:rPr>
        <w:lastRenderedPageBreak/>
        <w:t>Согласиться с выводами и предложениями Постоянной рабочей группы Конкурсной комиссии аппарата управления (Протокол № 45/ПРГ заседания, состоявшегося 16 мая 2014 г.) в части принятия решения о заключении с участниками закупки способом размещения оферты договоров на следующих условиях:</w:t>
      </w:r>
    </w:p>
    <w:p w:rsidR="006C33A0" w:rsidRPr="003A0CFE" w:rsidRDefault="006C33A0" w:rsidP="006C33A0">
      <w:pPr>
        <w:pStyle w:val="Textbody"/>
        <w:ind w:firstLine="708"/>
        <w:rPr>
          <w:sz w:val="28"/>
          <w:szCs w:val="28"/>
        </w:rPr>
      </w:pPr>
      <w:r w:rsidRPr="003A0CFE">
        <w:rPr>
          <w:b/>
          <w:sz w:val="28"/>
          <w:szCs w:val="28"/>
        </w:rPr>
        <w:t xml:space="preserve">Предмет договоров: </w:t>
      </w:r>
      <w:r w:rsidRPr="003A0CFE">
        <w:rPr>
          <w:sz w:val="28"/>
          <w:szCs w:val="28"/>
        </w:rPr>
        <w:t>аренда  20 футовых танк-контейнеров в  2014-2017 годах.</w:t>
      </w:r>
    </w:p>
    <w:p w:rsidR="006C33A0" w:rsidRPr="0050748F" w:rsidRDefault="006C33A0" w:rsidP="006C33A0">
      <w:pPr>
        <w:pStyle w:val="Textbody"/>
        <w:rPr>
          <w:sz w:val="28"/>
          <w:szCs w:val="28"/>
        </w:rPr>
      </w:pPr>
      <w:r w:rsidRPr="003A0CFE">
        <w:rPr>
          <w:b/>
          <w:sz w:val="28"/>
          <w:szCs w:val="28"/>
        </w:rPr>
        <w:t>Цена договора:</w:t>
      </w:r>
      <w:r w:rsidRPr="003A0CFE">
        <w:rPr>
          <w:sz w:val="28"/>
          <w:szCs w:val="28"/>
        </w:rPr>
        <w:t xml:space="preserve">  Максимальная (совокупная) цена  </w:t>
      </w:r>
      <w:proofErr w:type="gramStart"/>
      <w:r w:rsidRPr="003A0CFE">
        <w:rPr>
          <w:sz w:val="28"/>
          <w:szCs w:val="28"/>
        </w:rPr>
        <w:t>всех договоров, заключаемых по итогам Размещения оферты  составляет</w:t>
      </w:r>
      <w:proofErr w:type="gramEnd"/>
      <w:r w:rsidRPr="003A0CFE">
        <w:rPr>
          <w:sz w:val="28"/>
          <w:szCs w:val="28"/>
        </w:rPr>
        <w:t xml:space="preserve"> 250 000 000,00</w:t>
      </w:r>
      <w:r w:rsidR="00CA01FC">
        <w:rPr>
          <w:sz w:val="28"/>
          <w:szCs w:val="28"/>
        </w:rPr>
        <w:t xml:space="preserve"> (двести </w:t>
      </w:r>
      <w:r w:rsidR="00CA01FC" w:rsidRPr="000A1BC5">
        <w:rPr>
          <w:sz w:val="28"/>
          <w:szCs w:val="28"/>
        </w:rPr>
        <w:t xml:space="preserve">пятьдесят миллионов </w:t>
      </w:r>
      <w:r w:rsidRPr="000A1BC5">
        <w:rPr>
          <w:sz w:val="28"/>
          <w:szCs w:val="28"/>
        </w:rPr>
        <w:t>рублей</w:t>
      </w:r>
      <w:r w:rsidR="00CA01FC" w:rsidRPr="000A1BC5">
        <w:rPr>
          <w:sz w:val="28"/>
          <w:szCs w:val="28"/>
        </w:rPr>
        <w:t xml:space="preserve"> 00 копеек)</w:t>
      </w:r>
      <w:r w:rsidRPr="000A1BC5">
        <w:rPr>
          <w:sz w:val="28"/>
          <w:szCs w:val="28"/>
        </w:rPr>
        <w:t xml:space="preserve"> с учетом всех налогов, кроме НДС,</w:t>
      </w:r>
      <w:r w:rsidR="0050748F" w:rsidRPr="000A1BC5">
        <w:rPr>
          <w:sz w:val="28"/>
          <w:szCs w:val="28"/>
        </w:rPr>
        <w:t xml:space="preserve"> </w:t>
      </w:r>
      <w:r w:rsidR="00B87E96" w:rsidRPr="000A1BC5">
        <w:rPr>
          <w:sz w:val="28"/>
          <w:szCs w:val="28"/>
        </w:rPr>
        <w:t>уплачиваемого  в соответствии с законодательством Российской Федерации.</w:t>
      </w:r>
    </w:p>
    <w:p w:rsidR="006C33A0" w:rsidRPr="003A0CFE" w:rsidRDefault="006C33A0" w:rsidP="006C33A0">
      <w:pPr>
        <w:pStyle w:val="-3"/>
        <w:tabs>
          <w:tab w:val="clear" w:pos="1985"/>
        </w:tabs>
        <w:rPr>
          <w:rFonts w:eastAsia="MS Mincho"/>
          <w:szCs w:val="28"/>
        </w:rPr>
      </w:pPr>
      <w:r w:rsidRPr="003A0CFE">
        <w:rPr>
          <w:b/>
          <w:szCs w:val="28"/>
        </w:rPr>
        <w:t>Единичные расценки</w:t>
      </w:r>
      <w:r w:rsidRPr="003A0CFE">
        <w:rPr>
          <w:szCs w:val="28"/>
        </w:rPr>
        <w:t>:</w:t>
      </w:r>
      <w:r w:rsidRPr="003A0CFE">
        <w:rPr>
          <w:color w:val="000000"/>
          <w:szCs w:val="28"/>
        </w:rPr>
        <w:t xml:space="preserve">  </w:t>
      </w:r>
      <w:proofErr w:type="gramStart"/>
      <w:r w:rsidRPr="003A0CFE">
        <w:rPr>
          <w:rFonts w:eastAsia="MS Mincho"/>
          <w:szCs w:val="28"/>
        </w:rPr>
        <w:t>Указаны</w:t>
      </w:r>
      <w:proofErr w:type="gramEnd"/>
      <w:r w:rsidRPr="003A0CFE">
        <w:rPr>
          <w:rFonts w:eastAsia="MS Mincho"/>
          <w:szCs w:val="28"/>
        </w:rPr>
        <w:t xml:space="preserve"> в Приложении №1 к настоящему  Протоколу.</w:t>
      </w:r>
    </w:p>
    <w:p w:rsidR="006C33A0" w:rsidRPr="003A0CFE" w:rsidRDefault="006C33A0" w:rsidP="006C33A0">
      <w:pPr>
        <w:pStyle w:val="-3"/>
        <w:tabs>
          <w:tab w:val="clear" w:pos="1985"/>
        </w:tabs>
        <w:rPr>
          <w:b/>
          <w:szCs w:val="28"/>
        </w:rPr>
      </w:pPr>
      <w:r w:rsidRPr="003A0CFE">
        <w:rPr>
          <w:b/>
          <w:szCs w:val="28"/>
        </w:rPr>
        <w:t xml:space="preserve">Условия изменения единичных расценок: </w:t>
      </w:r>
    </w:p>
    <w:p w:rsidR="006C33A0" w:rsidRPr="003A0CFE" w:rsidRDefault="006C33A0" w:rsidP="006C33A0">
      <w:pPr>
        <w:pStyle w:val="Textbody"/>
        <w:rPr>
          <w:sz w:val="28"/>
          <w:szCs w:val="28"/>
        </w:rPr>
      </w:pPr>
      <w:r w:rsidRPr="003A0CFE">
        <w:rPr>
          <w:sz w:val="28"/>
          <w:szCs w:val="28"/>
        </w:rPr>
        <w:t>- увеличение единичных расценок возможно не ранее, чем через 12 месяцев с даты заключения договора;</w:t>
      </w:r>
    </w:p>
    <w:p w:rsidR="006C33A0" w:rsidRPr="003A0CFE" w:rsidRDefault="006C33A0" w:rsidP="006C33A0">
      <w:pPr>
        <w:pStyle w:val="Textbody"/>
        <w:rPr>
          <w:sz w:val="28"/>
          <w:szCs w:val="28"/>
        </w:rPr>
      </w:pPr>
      <w:r w:rsidRPr="003A0CFE">
        <w:rPr>
          <w:sz w:val="28"/>
          <w:szCs w:val="28"/>
        </w:rPr>
        <w:t>- увеличение единичных расценок не может превышать 10% в год;</w:t>
      </w:r>
    </w:p>
    <w:p w:rsidR="006C33A0" w:rsidRPr="003A0CFE" w:rsidRDefault="006C33A0" w:rsidP="006C33A0">
      <w:pPr>
        <w:pStyle w:val="Textbody"/>
        <w:rPr>
          <w:sz w:val="28"/>
          <w:szCs w:val="28"/>
        </w:rPr>
      </w:pPr>
      <w:r w:rsidRPr="003A0CFE">
        <w:rPr>
          <w:sz w:val="28"/>
          <w:szCs w:val="28"/>
        </w:rPr>
        <w:t>- Арендодатель обязан уведомить Арендатора о предстоящем изменении стоимости аренды не менее чем за 90 дней до даты изменения;</w:t>
      </w:r>
    </w:p>
    <w:p w:rsidR="006C33A0" w:rsidRPr="003A0CFE" w:rsidRDefault="006C33A0" w:rsidP="006C33A0">
      <w:pPr>
        <w:pStyle w:val="Textbody"/>
        <w:rPr>
          <w:sz w:val="28"/>
          <w:szCs w:val="28"/>
        </w:rPr>
      </w:pPr>
      <w:r w:rsidRPr="003A0CFE">
        <w:rPr>
          <w:sz w:val="28"/>
          <w:szCs w:val="28"/>
        </w:rPr>
        <w:t>- увеличение цены не распространяется на танк-контейнеры</w:t>
      </w:r>
      <w:r w:rsidR="00A7422B">
        <w:rPr>
          <w:sz w:val="28"/>
          <w:szCs w:val="28"/>
        </w:rPr>
        <w:t>,</w:t>
      </w:r>
      <w:r w:rsidRPr="003A0CFE">
        <w:rPr>
          <w:sz w:val="28"/>
          <w:szCs w:val="28"/>
        </w:rPr>
        <w:t xml:space="preserve"> принятые в аренду.</w:t>
      </w:r>
    </w:p>
    <w:p w:rsidR="006C33A0" w:rsidRPr="003A0CFE" w:rsidRDefault="006C33A0" w:rsidP="006C33A0">
      <w:pPr>
        <w:pStyle w:val="af1"/>
        <w:spacing w:line="247" w:lineRule="auto"/>
        <w:ind w:firstLine="708"/>
        <w:jc w:val="both"/>
        <w:rPr>
          <w:rFonts w:eastAsia="Calibri"/>
          <w:sz w:val="28"/>
          <w:szCs w:val="28"/>
        </w:rPr>
      </w:pPr>
      <w:r w:rsidRPr="003A0CFE">
        <w:rPr>
          <w:b/>
          <w:sz w:val="28"/>
          <w:szCs w:val="28"/>
        </w:rPr>
        <w:t>Сведения об объеме выполняемых работ/оказываемых услуг:</w:t>
      </w:r>
      <w:r w:rsidRPr="003A0CFE">
        <w:rPr>
          <w:sz w:val="28"/>
          <w:szCs w:val="28"/>
        </w:rPr>
        <w:t xml:space="preserve"> </w:t>
      </w:r>
      <w:r w:rsidRPr="003A0CFE">
        <w:rPr>
          <w:color w:val="000000"/>
          <w:kern w:val="3"/>
          <w:sz w:val="28"/>
          <w:szCs w:val="28"/>
          <w:lang w:eastAsia="ar-SA"/>
        </w:rPr>
        <w:t xml:space="preserve">количество арендуемых танк-контейнеров </w:t>
      </w:r>
      <w:r w:rsidR="00A7422B">
        <w:rPr>
          <w:color w:val="000000"/>
          <w:kern w:val="3"/>
          <w:sz w:val="28"/>
          <w:szCs w:val="28"/>
          <w:lang w:eastAsia="ar-SA"/>
        </w:rPr>
        <w:t xml:space="preserve">и </w:t>
      </w:r>
      <w:r w:rsidRPr="003A0CFE">
        <w:rPr>
          <w:color w:val="000000"/>
          <w:kern w:val="3"/>
          <w:sz w:val="28"/>
          <w:szCs w:val="28"/>
          <w:lang w:eastAsia="ar-SA"/>
        </w:rPr>
        <w:t>предоставлен</w:t>
      </w:r>
      <w:r w:rsidR="00CA01FC">
        <w:rPr>
          <w:color w:val="000000"/>
          <w:kern w:val="3"/>
          <w:sz w:val="28"/>
          <w:szCs w:val="28"/>
          <w:lang w:eastAsia="ar-SA"/>
        </w:rPr>
        <w:t>ных услуг определяется исходя из</w:t>
      </w:r>
      <w:r w:rsidRPr="003A0CFE">
        <w:rPr>
          <w:color w:val="000000"/>
          <w:kern w:val="3"/>
          <w:sz w:val="28"/>
          <w:szCs w:val="28"/>
          <w:lang w:eastAsia="ar-SA"/>
        </w:rPr>
        <w:t xml:space="preserve"> потребностей заказчика</w:t>
      </w:r>
      <w:r w:rsidR="00CA01FC">
        <w:rPr>
          <w:color w:val="000000"/>
          <w:kern w:val="3"/>
          <w:sz w:val="28"/>
          <w:szCs w:val="28"/>
          <w:lang w:eastAsia="ar-SA"/>
        </w:rPr>
        <w:t>.</w:t>
      </w:r>
    </w:p>
    <w:p w:rsidR="006C33A0" w:rsidRPr="003A0CFE" w:rsidRDefault="006C33A0" w:rsidP="006C33A0">
      <w:pPr>
        <w:pStyle w:val="-3"/>
        <w:tabs>
          <w:tab w:val="clear" w:pos="1985"/>
          <w:tab w:val="left" w:pos="-142"/>
        </w:tabs>
        <w:rPr>
          <w:szCs w:val="28"/>
        </w:rPr>
      </w:pPr>
      <w:r w:rsidRPr="003A0CFE">
        <w:rPr>
          <w:b/>
          <w:szCs w:val="28"/>
        </w:rPr>
        <w:t>Условия оплаты:</w:t>
      </w:r>
      <w:r w:rsidRPr="003A0CFE">
        <w:rPr>
          <w:szCs w:val="28"/>
        </w:rPr>
        <w:t xml:space="preserve"> оплата аренды танк-контейнеров осуществляется  ежемесячно не ранее, чем через пять дней после подписания акта об оказанных услугах</w:t>
      </w:r>
      <w:r w:rsidRPr="003A0CFE">
        <w:rPr>
          <w:i/>
          <w:szCs w:val="28"/>
        </w:rPr>
        <w:t xml:space="preserve">. </w:t>
      </w:r>
    </w:p>
    <w:p w:rsidR="006C33A0" w:rsidRPr="003A0CFE" w:rsidRDefault="006C33A0" w:rsidP="006C33A0">
      <w:pPr>
        <w:pStyle w:val="Default"/>
        <w:ind w:firstLine="708"/>
        <w:jc w:val="both"/>
        <w:rPr>
          <w:b/>
          <w:color w:val="00000A"/>
          <w:sz w:val="28"/>
          <w:szCs w:val="28"/>
        </w:rPr>
      </w:pPr>
      <w:r w:rsidRPr="003A0CFE">
        <w:rPr>
          <w:b/>
          <w:bCs/>
          <w:color w:val="00000A"/>
          <w:sz w:val="28"/>
          <w:szCs w:val="28"/>
        </w:rPr>
        <w:t xml:space="preserve">Срок </w:t>
      </w:r>
      <w:r w:rsidRPr="003A0CFE">
        <w:rPr>
          <w:b/>
          <w:color w:val="00000A"/>
          <w:sz w:val="28"/>
          <w:szCs w:val="28"/>
        </w:rPr>
        <w:t xml:space="preserve">выполнения работ, оказания услуг: </w:t>
      </w:r>
      <w:r w:rsidRPr="003A0CFE">
        <w:rPr>
          <w:color w:val="auto"/>
          <w:sz w:val="28"/>
          <w:szCs w:val="28"/>
        </w:rPr>
        <w:t>с даты приема в аренду танк-контейнеров до даты  возврата из аренды танк-контейнеров по актам приёма-сдачи.</w:t>
      </w:r>
    </w:p>
    <w:p w:rsidR="006C33A0" w:rsidRPr="003A0CFE" w:rsidRDefault="006C33A0" w:rsidP="006C33A0">
      <w:pPr>
        <w:spacing w:line="247" w:lineRule="auto"/>
        <w:ind w:firstLine="708"/>
        <w:jc w:val="both"/>
        <w:rPr>
          <w:szCs w:val="28"/>
        </w:rPr>
      </w:pPr>
      <w:r w:rsidRPr="003A0CFE">
        <w:rPr>
          <w:b/>
          <w:color w:val="00000A"/>
          <w:szCs w:val="28"/>
        </w:rPr>
        <w:t xml:space="preserve">Срок действия договора:  </w:t>
      </w:r>
      <w:r w:rsidR="00CA01FC">
        <w:rPr>
          <w:szCs w:val="28"/>
        </w:rPr>
        <w:t>д</w:t>
      </w:r>
      <w:r w:rsidRPr="003A0CFE">
        <w:rPr>
          <w:szCs w:val="28"/>
        </w:rPr>
        <w:t>оговор вступает в силу с даты его заключения и действует до 31.12.2017, а  в части  обязательств по возврату танк-контейнеров и осуществлению взаиморасчетов – до момента полного исполнения сторонами своих обязательств.</w:t>
      </w:r>
    </w:p>
    <w:p w:rsidR="006C33A0" w:rsidRPr="003A0CFE" w:rsidRDefault="006C33A0" w:rsidP="006C33A0">
      <w:pPr>
        <w:ind w:firstLine="708"/>
        <w:jc w:val="both"/>
        <w:rPr>
          <w:szCs w:val="28"/>
        </w:rPr>
      </w:pPr>
      <w:r w:rsidRPr="003A0CFE">
        <w:rPr>
          <w:szCs w:val="28"/>
        </w:rPr>
        <w:t xml:space="preserve">3. Поручить  начальнику отдела </w:t>
      </w:r>
      <w:r w:rsidRPr="003A0CFE">
        <w:rPr>
          <w:bCs/>
          <w:szCs w:val="28"/>
        </w:rPr>
        <w:t>организации и продаж по перевозке специализированных контейнеров и неконтейнерных грузов (ЦКПСКН) Годовикову Д.А.</w:t>
      </w:r>
      <w:r w:rsidRPr="003A0CFE">
        <w:rPr>
          <w:szCs w:val="28"/>
        </w:rPr>
        <w:t>:</w:t>
      </w:r>
    </w:p>
    <w:p w:rsidR="006C33A0" w:rsidRPr="003A0CFE" w:rsidRDefault="006C33A0" w:rsidP="006C33A0">
      <w:pPr>
        <w:pStyle w:val="Default"/>
        <w:ind w:firstLine="709"/>
        <w:jc w:val="both"/>
        <w:rPr>
          <w:sz w:val="28"/>
          <w:szCs w:val="28"/>
        </w:rPr>
      </w:pPr>
      <w:r w:rsidRPr="003A0CFE">
        <w:rPr>
          <w:sz w:val="28"/>
          <w:szCs w:val="28"/>
        </w:rPr>
        <w:t>3.1 направить уведомление EXSIF WORLDWIDE, ООО «РокоНорд» о принятом Конкурсной комиссией ОАО «ТрансКонтейнер» решении с приглашением заключить договор;</w:t>
      </w:r>
    </w:p>
    <w:p w:rsidR="00E749C2" w:rsidRPr="001A3085" w:rsidRDefault="006C33A0" w:rsidP="006C33A0">
      <w:pPr>
        <w:ind w:firstLine="708"/>
        <w:jc w:val="both"/>
        <w:rPr>
          <w:color w:val="000000"/>
          <w:szCs w:val="28"/>
        </w:rPr>
      </w:pPr>
      <w:r w:rsidRPr="003A0CFE">
        <w:rPr>
          <w:szCs w:val="28"/>
        </w:rPr>
        <w:t xml:space="preserve">3.2 обеспечить установленным порядком заключение договоров с  </w:t>
      </w:r>
      <w:r w:rsidRPr="003A0CFE">
        <w:rPr>
          <w:szCs w:val="28"/>
        </w:rPr>
        <w:br/>
        <w:t>EXSIF WORLDWIDE, ООО «РокоНорд»</w:t>
      </w:r>
      <w:r w:rsidRPr="003A0CFE">
        <w:rPr>
          <w:color w:val="000000"/>
          <w:szCs w:val="28"/>
        </w:rPr>
        <w:t>.</w:t>
      </w:r>
    </w:p>
    <w:p w:rsidR="00923D3D" w:rsidRPr="001A3085" w:rsidRDefault="00923D3D" w:rsidP="00923D3D">
      <w:pPr>
        <w:ind w:firstLine="708"/>
        <w:jc w:val="both"/>
        <w:rPr>
          <w:b/>
          <w:szCs w:val="28"/>
        </w:rPr>
      </w:pPr>
    </w:p>
    <w:p w:rsidR="001E7105" w:rsidRPr="00002F12" w:rsidRDefault="00002F12" w:rsidP="00923D3D">
      <w:pPr>
        <w:ind w:firstLine="708"/>
        <w:jc w:val="both"/>
        <w:rPr>
          <w:b/>
          <w:szCs w:val="28"/>
          <w:lang w:val="en-US"/>
        </w:rPr>
      </w:pPr>
      <w:r>
        <w:rPr>
          <w:b/>
          <w:szCs w:val="28"/>
          <w:lang w:val="en-US"/>
        </w:rPr>
        <w:t>….</w:t>
      </w:r>
    </w:p>
    <w:tbl>
      <w:tblPr>
        <w:tblStyle w:val="a8"/>
        <w:tblpPr w:leftFromText="180" w:rightFromText="180" w:vertAnchor="text" w:horzAnchor="margin" w:tblpY="22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F8145B" w:rsidRPr="004679A3" w:rsidTr="00F8145B">
        <w:trPr>
          <w:trHeight w:val="903"/>
        </w:trPr>
        <w:tc>
          <w:tcPr>
            <w:tcW w:w="5778" w:type="dxa"/>
          </w:tcPr>
          <w:p w:rsidR="00F8145B" w:rsidRPr="004679A3" w:rsidRDefault="00F8145B" w:rsidP="00F8145B">
            <w:pPr>
              <w:pStyle w:val="a6"/>
              <w:tabs>
                <w:tab w:val="left" w:pos="0"/>
              </w:tabs>
              <w:rPr>
                <w:i w:val="0"/>
              </w:rPr>
            </w:pPr>
            <w:r>
              <w:rPr>
                <w:i w:val="0"/>
              </w:rPr>
              <w:lastRenderedPageBreak/>
              <w:t>Пр</w:t>
            </w:r>
            <w:r w:rsidRPr="004679A3">
              <w:rPr>
                <w:i w:val="0"/>
              </w:rPr>
              <w:t>едседател</w:t>
            </w:r>
            <w:r>
              <w:rPr>
                <w:i w:val="0"/>
              </w:rPr>
              <w:t>ь</w:t>
            </w:r>
          </w:p>
          <w:p w:rsidR="00F8145B" w:rsidRPr="004679A3" w:rsidRDefault="00F8145B" w:rsidP="00F8145B">
            <w:pPr>
              <w:pStyle w:val="a6"/>
              <w:tabs>
                <w:tab w:val="left" w:pos="0"/>
              </w:tabs>
              <w:rPr>
                <w:i w:val="0"/>
              </w:rPr>
            </w:pPr>
            <w:r w:rsidRPr="004679A3">
              <w:rPr>
                <w:i w:val="0"/>
              </w:rPr>
              <w:t xml:space="preserve">Конкурсной комиссии                                                               </w:t>
            </w:r>
          </w:p>
          <w:p w:rsidR="00F8145B" w:rsidRPr="004679A3" w:rsidRDefault="00F8145B" w:rsidP="00F8145B">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F8145B" w:rsidRPr="004679A3" w:rsidRDefault="00F8145B" w:rsidP="00F8145B">
            <w:pPr>
              <w:jc w:val="right"/>
              <w:rPr>
                <w:szCs w:val="28"/>
              </w:rPr>
            </w:pPr>
          </w:p>
          <w:p w:rsidR="00F8145B" w:rsidRPr="004679A3" w:rsidRDefault="00F8145B" w:rsidP="00F8145B">
            <w:pPr>
              <w:jc w:val="right"/>
              <w:rPr>
                <w:szCs w:val="28"/>
              </w:rPr>
            </w:pPr>
          </w:p>
          <w:p w:rsidR="00F8145B" w:rsidRPr="004679A3" w:rsidRDefault="00F8145B" w:rsidP="00F8145B">
            <w:pPr>
              <w:jc w:val="right"/>
              <w:rPr>
                <w:szCs w:val="28"/>
              </w:rPr>
            </w:pPr>
          </w:p>
        </w:tc>
      </w:tr>
      <w:tr w:rsidR="00F8145B" w:rsidRPr="004679A3" w:rsidTr="00F8145B">
        <w:tc>
          <w:tcPr>
            <w:tcW w:w="5778" w:type="dxa"/>
          </w:tcPr>
          <w:p w:rsidR="00F8145B" w:rsidRPr="004679A3" w:rsidRDefault="00F8145B" w:rsidP="00F8145B">
            <w:pPr>
              <w:jc w:val="both"/>
              <w:rPr>
                <w:szCs w:val="28"/>
              </w:rPr>
            </w:pPr>
          </w:p>
          <w:p w:rsidR="00F8145B" w:rsidRDefault="00F8145B" w:rsidP="00F8145B">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F8145B" w:rsidRDefault="00F8145B" w:rsidP="00002F12">
            <w:pPr>
              <w:pStyle w:val="a6"/>
              <w:tabs>
                <w:tab w:val="left" w:pos="0"/>
              </w:tabs>
            </w:pPr>
            <w:r w:rsidRPr="005171A4">
              <w:rPr>
                <w:i w:val="0"/>
              </w:rPr>
              <w:t>«</w:t>
            </w:r>
            <w:r w:rsidR="00002F12" w:rsidRPr="00002F12">
              <w:rPr>
                <w:i w:val="0"/>
              </w:rPr>
              <w:t>25</w:t>
            </w:r>
            <w:r w:rsidRPr="005171A4">
              <w:rPr>
                <w:i w:val="0"/>
              </w:rPr>
              <w:t>»</w:t>
            </w:r>
            <w:r w:rsidRPr="00CF45A9">
              <w:rPr>
                <w:i w:val="0"/>
              </w:rPr>
              <w:t xml:space="preserve"> </w:t>
            </w:r>
            <w:r>
              <w:rPr>
                <w:i w:val="0"/>
              </w:rPr>
              <w:t>июня</w:t>
            </w:r>
            <w:r w:rsidRPr="00CF45A9">
              <w:rPr>
                <w:i w:val="0"/>
              </w:rPr>
              <w:t xml:space="preserve"> 201</w:t>
            </w:r>
            <w:r>
              <w:rPr>
                <w:i w:val="0"/>
              </w:rPr>
              <w:t>4</w:t>
            </w:r>
            <w:r w:rsidRPr="00CF45A9">
              <w:rPr>
                <w:i w:val="0"/>
              </w:rPr>
              <w:t xml:space="preserve"> год</w:t>
            </w:r>
          </w:p>
        </w:tc>
        <w:tc>
          <w:tcPr>
            <w:tcW w:w="4111" w:type="dxa"/>
          </w:tcPr>
          <w:p w:rsidR="00F8145B" w:rsidRPr="004679A3" w:rsidRDefault="00F8145B" w:rsidP="00F8145B">
            <w:pPr>
              <w:jc w:val="right"/>
              <w:rPr>
                <w:szCs w:val="28"/>
              </w:rPr>
            </w:pPr>
          </w:p>
          <w:p w:rsidR="00F8145B" w:rsidRPr="00002F12" w:rsidRDefault="00F8145B" w:rsidP="00002F12">
            <w:pPr>
              <w:jc w:val="right"/>
              <w:rPr>
                <w:szCs w:val="28"/>
                <w:lang w:val="en-US"/>
              </w:rPr>
            </w:pPr>
          </w:p>
        </w:tc>
      </w:tr>
    </w:tbl>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EA7488" w:rsidRPr="00923D3D" w:rsidRDefault="00EA7488" w:rsidP="00923D3D">
      <w:pPr>
        <w:jc w:val="both"/>
        <w:rPr>
          <w:szCs w:val="28"/>
        </w:rPr>
      </w:pPr>
    </w:p>
    <w:p w:rsidR="00FB26F5" w:rsidRPr="00D75AB8" w:rsidRDefault="00FB26F5" w:rsidP="00D75AB8">
      <w:pPr>
        <w:jc w:val="both"/>
        <w:rPr>
          <w:rFonts w:eastAsia="Calibri"/>
          <w:color w:val="000000"/>
          <w:szCs w:val="28"/>
        </w:rPr>
        <w:sectPr w:rsidR="00FB26F5" w:rsidRPr="00D75AB8" w:rsidSect="00A179B6">
          <w:headerReference w:type="default" r:id="rId9"/>
          <w:pgSz w:w="11906" w:h="16838"/>
          <w:pgMar w:top="1135" w:right="851" w:bottom="993" w:left="1418" w:header="567" w:footer="0" w:gutter="0"/>
          <w:cols w:space="708"/>
          <w:titlePg/>
          <w:docGrid w:linePitch="381"/>
        </w:sectPr>
      </w:pPr>
    </w:p>
    <w:p w:rsidR="00923D3D" w:rsidRPr="00D02697" w:rsidRDefault="00923D3D" w:rsidP="00923D3D">
      <w:pPr>
        <w:jc w:val="right"/>
        <w:rPr>
          <w:sz w:val="22"/>
          <w:szCs w:val="22"/>
        </w:rPr>
      </w:pPr>
      <w:r w:rsidRPr="00417D1F">
        <w:rPr>
          <w:sz w:val="22"/>
          <w:szCs w:val="22"/>
        </w:rPr>
        <w:lastRenderedPageBreak/>
        <w:t>Приложение № 1</w:t>
      </w:r>
      <w:r w:rsidRPr="00D5177E">
        <w:rPr>
          <w:sz w:val="22"/>
          <w:szCs w:val="22"/>
        </w:rPr>
        <w:t xml:space="preserve"> </w:t>
      </w:r>
    </w:p>
    <w:p w:rsidR="00923D3D" w:rsidRPr="00D02697" w:rsidRDefault="00923D3D" w:rsidP="00923D3D">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23</w:t>
      </w:r>
      <w:r w:rsidRPr="00D02697">
        <w:rPr>
          <w:sz w:val="22"/>
          <w:szCs w:val="22"/>
        </w:rPr>
        <w:t>/КК</w:t>
      </w:r>
    </w:p>
    <w:p w:rsidR="00923D3D" w:rsidRPr="00D02697" w:rsidRDefault="00923D3D" w:rsidP="00923D3D">
      <w:pPr>
        <w:jc w:val="right"/>
        <w:outlineLvl w:val="0"/>
        <w:rPr>
          <w:bCs/>
          <w:sz w:val="22"/>
          <w:szCs w:val="22"/>
        </w:rPr>
      </w:pPr>
      <w:r w:rsidRPr="00D02697">
        <w:rPr>
          <w:bCs/>
          <w:sz w:val="22"/>
          <w:szCs w:val="22"/>
        </w:rPr>
        <w:t>заседания Конкурсной комиссии</w:t>
      </w:r>
    </w:p>
    <w:p w:rsidR="00923D3D" w:rsidRPr="00D02697" w:rsidRDefault="00923D3D" w:rsidP="00923D3D">
      <w:pPr>
        <w:jc w:val="right"/>
        <w:rPr>
          <w:sz w:val="22"/>
          <w:szCs w:val="22"/>
        </w:rPr>
      </w:pPr>
      <w:r w:rsidRPr="00D02697">
        <w:rPr>
          <w:sz w:val="22"/>
          <w:szCs w:val="22"/>
        </w:rPr>
        <w:t>открытого акционерного общества</w:t>
      </w:r>
    </w:p>
    <w:p w:rsidR="00923D3D" w:rsidRPr="00D02697" w:rsidRDefault="00923D3D" w:rsidP="00923D3D">
      <w:pPr>
        <w:jc w:val="right"/>
        <w:rPr>
          <w:sz w:val="22"/>
          <w:szCs w:val="22"/>
        </w:rPr>
      </w:pPr>
      <w:r w:rsidRPr="00D02697">
        <w:rPr>
          <w:sz w:val="22"/>
          <w:szCs w:val="22"/>
        </w:rPr>
        <w:t>«Центр по перевозке грузов в контейнерах «ТрансКонтейнер»,</w:t>
      </w:r>
    </w:p>
    <w:p w:rsidR="00923D3D" w:rsidRDefault="00923D3D" w:rsidP="00923D3D">
      <w:pPr>
        <w:jc w:val="right"/>
        <w:rPr>
          <w:sz w:val="22"/>
          <w:szCs w:val="22"/>
        </w:rPr>
      </w:pPr>
      <w:r w:rsidRPr="00D02697">
        <w:rPr>
          <w:sz w:val="22"/>
          <w:szCs w:val="22"/>
        </w:rPr>
        <w:t xml:space="preserve">состоявшегося </w:t>
      </w:r>
      <w:r>
        <w:rPr>
          <w:sz w:val="22"/>
          <w:szCs w:val="22"/>
        </w:rPr>
        <w:t xml:space="preserve"> 27 </w:t>
      </w:r>
      <w:r w:rsidRPr="00D02697">
        <w:rPr>
          <w:sz w:val="22"/>
          <w:szCs w:val="22"/>
        </w:rPr>
        <w:t xml:space="preserve"> </w:t>
      </w:r>
      <w:r>
        <w:rPr>
          <w:sz w:val="22"/>
          <w:szCs w:val="22"/>
        </w:rPr>
        <w:t xml:space="preserve">мая </w:t>
      </w:r>
      <w:r w:rsidRPr="00D02697">
        <w:rPr>
          <w:sz w:val="22"/>
          <w:szCs w:val="22"/>
        </w:rPr>
        <w:t xml:space="preserve"> 201</w:t>
      </w:r>
      <w:r>
        <w:rPr>
          <w:sz w:val="22"/>
          <w:szCs w:val="22"/>
        </w:rPr>
        <w:t>4</w:t>
      </w:r>
      <w:r w:rsidRPr="00D02697">
        <w:rPr>
          <w:sz w:val="22"/>
          <w:szCs w:val="22"/>
        </w:rPr>
        <w:t xml:space="preserve"> года</w:t>
      </w:r>
    </w:p>
    <w:p w:rsidR="00923D3D" w:rsidRDefault="00923D3D" w:rsidP="00923D3D">
      <w:pPr>
        <w:rPr>
          <w:sz w:val="22"/>
          <w:szCs w:val="22"/>
        </w:rPr>
      </w:pPr>
    </w:p>
    <w:p w:rsidR="00923D3D" w:rsidRDefault="00923D3D" w:rsidP="00923D3D">
      <w:pPr>
        <w:jc w:val="right"/>
        <w:rPr>
          <w:sz w:val="22"/>
          <w:szCs w:val="22"/>
        </w:rPr>
      </w:pPr>
    </w:p>
    <w:p w:rsidR="00923D3D" w:rsidRPr="00486646" w:rsidRDefault="00923D3D" w:rsidP="00923D3D">
      <w:pPr>
        <w:pStyle w:val="ad"/>
        <w:numPr>
          <w:ilvl w:val="0"/>
          <w:numId w:val="34"/>
        </w:numPr>
        <w:spacing w:after="200" w:line="276" w:lineRule="auto"/>
        <w:contextualSpacing/>
        <w:rPr>
          <w:szCs w:val="28"/>
        </w:rPr>
      </w:pPr>
      <w:r w:rsidRPr="001A07AF">
        <w:rPr>
          <w:szCs w:val="28"/>
        </w:rPr>
        <w:t>Арендные ставки EXSIF WORLDWIDE*</w:t>
      </w:r>
    </w:p>
    <w:p w:rsidR="00923D3D" w:rsidRDefault="00923D3D" w:rsidP="00923D3D">
      <w:pPr>
        <w:tabs>
          <w:tab w:val="left" w:pos="0"/>
        </w:tabs>
        <w:spacing w:after="200" w:line="276" w:lineRule="auto"/>
        <w:rPr>
          <w:szCs w:val="28"/>
        </w:rPr>
      </w:pPr>
      <w:r>
        <w:rPr>
          <w:noProof/>
          <w:szCs w:val="28"/>
        </w:rPr>
        <w:drawing>
          <wp:inline distT="0" distB="0" distL="0" distR="0">
            <wp:extent cx="6159114" cy="295971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58698" cy="2959519"/>
                    </a:xfrm>
                    <a:prstGeom prst="rect">
                      <a:avLst/>
                    </a:prstGeom>
                    <a:noFill/>
                    <a:ln w="9525">
                      <a:noFill/>
                      <a:miter lim="800000"/>
                      <a:headEnd/>
                      <a:tailEnd/>
                    </a:ln>
                  </pic:spPr>
                </pic:pic>
              </a:graphicData>
            </a:graphic>
          </wp:inline>
        </w:drawing>
      </w:r>
    </w:p>
    <w:p w:rsidR="00923D3D" w:rsidRDefault="00923D3D" w:rsidP="00923D3D">
      <w:pPr>
        <w:pStyle w:val="ad"/>
        <w:spacing w:after="200" w:line="276" w:lineRule="auto"/>
        <w:ind w:left="1069"/>
        <w:rPr>
          <w:szCs w:val="28"/>
        </w:rPr>
      </w:pPr>
      <w:r w:rsidRPr="001A07AF">
        <w:rPr>
          <w:szCs w:val="28"/>
        </w:rPr>
        <w:t>* - указанные арендные ставки не включают  дополнительные расходы:</w:t>
      </w:r>
    </w:p>
    <w:tbl>
      <w:tblPr>
        <w:tblW w:w="15022" w:type="dxa"/>
        <w:tblInd w:w="94" w:type="dxa"/>
        <w:tblLayout w:type="fixed"/>
        <w:tblLook w:val="04A0"/>
      </w:tblPr>
      <w:tblGrid>
        <w:gridCol w:w="7385"/>
        <w:gridCol w:w="142"/>
        <w:gridCol w:w="94"/>
        <w:gridCol w:w="1465"/>
        <w:gridCol w:w="94"/>
        <w:gridCol w:w="3970"/>
        <w:gridCol w:w="1872"/>
      </w:tblGrid>
      <w:tr w:rsidR="00923D3D" w:rsidRPr="00486646" w:rsidTr="00334A7E">
        <w:trPr>
          <w:gridAfter w:val="3"/>
          <w:wAfter w:w="5936" w:type="dxa"/>
          <w:trHeight w:val="300"/>
        </w:trPr>
        <w:tc>
          <w:tcPr>
            <w:tcW w:w="7527" w:type="dxa"/>
            <w:gridSpan w:val="2"/>
            <w:shd w:val="clear" w:color="auto" w:fill="auto"/>
            <w:noWrap/>
            <w:vAlign w:val="center"/>
            <w:hideMark/>
          </w:tcPr>
          <w:p w:rsidR="00923D3D" w:rsidRPr="00486646" w:rsidRDefault="00923D3D" w:rsidP="00334A7E">
            <w:pPr>
              <w:rPr>
                <w:color w:val="000000"/>
                <w:sz w:val="24"/>
                <w:szCs w:val="24"/>
              </w:rPr>
            </w:pPr>
            <w:r w:rsidRPr="001A07AF">
              <w:rPr>
                <w:color w:val="000000"/>
                <w:sz w:val="24"/>
                <w:szCs w:val="24"/>
              </w:rPr>
              <w:t>Плата за подготовку (выдачу) ТК, включая погрузку на автотранспорт или подвижной состав заказчика (без учета НДС)</w:t>
            </w:r>
          </w:p>
        </w:tc>
        <w:tc>
          <w:tcPr>
            <w:tcW w:w="1559" w:type="dxa"/>
            <w:gridSpan w:val="2"/>
            <w:shd w:val="clear" w:color="auto" w:fill="auto"/>
            <w:noWrap/>
            <w:vAlign w:val="center"/>
            <w:hideMark/>
          </w:tcPr>
          <w:p w:rsidR="00923D3D" w:rsidRPr="00486646" w:rsidRDefault="00923D3D" w:rsidP="00334A7E">
            <w:pPr>
              <w:ind w:left="176" w:hanging="176"/>
              <w:rPr>
                <w:color w:val="000000"/>
                <w:sz w:val="24"/>
                <w:szCs w:val="24"/>
              </w:rPr>
            </w:pPr>
            <w:r>
              <w:rPr>
                <w:color w:val="000000"/>
                <w:sz w:val="24"/>
                <w:szCs w:val="24"/>
              </w:rPr>
              <w:t xml:space="preserve">  </w:t>
            </w:r>
            <w:r w:rsidRPr="001A07AF">
              <w:rPr>
                <w:color w:val="000000"/>
                <w:sz w:val="24"/>
                <w:szCs w:val="24"/>
              </w:rPr>
              <w:t>$90,0</w:t>
            </w:r>
          </w:p>
        </w:tc>
      </w:tr>
      <w:tr w:rsidR="00923D3D" w:rsidRPr="00486646" w:rsidTr="00334A7E">
        <w:trPr>
          <w:gridAfter w:val="2"/>
          <w:wAfter w:w="5842" w:type="dxa"/>
          <w:trHeight w:val="300"/>
        </w:trPr>
        <w:tc>
          <w:tcPr>
            <w:tcW w:w="7385" w:type="dxa"/>
            <w:shd w:val="clear" w:color="auto" w:fill="auto"/>
            <w:noWrap/>
            <w:vAlign w:val="center"/>
            <w:hideMark/>
          </w:tcPr>
          <w:p w:rsidR="00923D3D" w:rsidRDefault="00923D3D" w:rsidP="00334A7E">
            <w:pPr>
              <w:rPr>
                <w:color w:val="000000"/>
                <w:sz w:val="24"/>
                <w:szCs w:val="24"/>
              </w:rPr>
            </w:pPr>
            <w:r w:rsidRPr="001A07AF">
              <w:rPr>
                <w:color w:val="000000"/>
                <w:sz w:val="24"/>
                <w:szCs w:val="24"/>
              </w:rPr>
              <w:t>Предоставление отчета сюрвейера о техническом состоянии ТК (без учета НДС)</w:t>
            </w:r>
          </w:p>
        </w:tc>
        <w:tc>
          <w:tcPr>
            <w:tcW w:w="236" w:type="dxa"/>
            <w:gridSpan w:val="2"/>
            <w:shd w:val="clear" w:color="auto" w:fill="auto"/>
            <w:noWrap/>
            <w:vAlign w:val="center"/>
            <w:hideMark/>
          </w:tcPr>
          <w:p w:rsidR="00923D3D" w:rsidRPr="00486646" w:rsidRDefault="00923D3D" w:rsidP="00334A7E">
            <w:pPr>
              <w:jc w:val="center"/>
              <w:rPr>
                <w:color w:val="000000"/>
                <w:sz w:val="24"/>
                <w:szCs w:val="24"/>
              </w:rPr>
            </w:pPr>
          </w:p>
        </w:tc>
        <w:tc>
          <w:tcPr>
            <w:tcW w:w="1559" w:type="dxa"/>
            <w:gridSpan w:val="2"/>
            <w:shd w:val="clear" w:color="auto" w:fill="auto"/>
            <w:noWrap/>
            <w:vAlign w:val="center"/>
            <w:hideMark/>
          </w:tcPr>
          <w:p w:rsidR="00923D3D" w:rsidRDefault="00923D3D" w:rsidP="00334A7E">
            <w:pPr>
              <w:rPr>
                <w:color w:val="000000"/>
                <w:sz w:val="24"/>
                <w:szCs w:val="24"/>
              </w:rPr>
            </w:pPr>
            <w:r w:rsidRPr="001A07AF">
              <w:rPr>
                <w:color w:val="000000"/>
                <w:sz w:val="24"/>
                <w:szCs w:val="24"/>
              </w:rPr>
              <w:t>$100,0</w:t>
            </w:r>
          </w:p>
        </w:tc>
      </w:tr>
      <w:tr w:rsidR="00923D3D" w:rsidRPr="00486646" w:rsidTr="00334A7E">
        <w:trPr>
          <w:gridAfter w:val="2"/>
          <w:wAfter w:w="5842" w:type="dxa"/>
          <w:trHeight w:val="300"/>
        </w:trPr>
        <w:tc>
          <w:tcPr>
            <w:tcW w:w="7385" w:type="dxa"/>
            <w:shd w:val="clear" w:color="auto" w:fill="auto"/>
            <w:noWrap/>
            <w:vAlign w:val="center"/>
            <w:hideMark/>
          </w:tcPr>
          <w:p w:rsidR="00923D3D" w:rsidRPr="00486646" w:rsidRDefault="00923D3D" w:rsidP="00334A7E">
            <w:pPr>
              <w:rPr>
                <w:color w:val="000000"/>
                <w:sz w:val="24"/>
                <w:szCs w:val="24"/>
              </w:rPr>
            </w:pPr>
            <w:r w:rsidRPr="001A07AF">
              <w:rPr>
                <w:color w:val="000000"/>
                <w:sz w:val="24"/>
                <w:szCs w:val="24"/>
              </w:rPr>
              <w:t>Плата за прием ТК, включая погрузку на автотранспорт или подвижной состав заказчика (без учета НДС)</w:t>
            </w:r>
          </w:p>
        </w:tc>
        <w:tc>
          <w:tcPr>
            <w:tcW w:w="236" w:type="dxa"/>
            <w:gridSpan w:val="2"/>
            <w:shd w:val="clear" w:color="auto" w:fill="auto"/>
            <w:noWrap/>
            <w:vAlign w:val="center"/>
            <w:hideMark/>
          </w:tcPr>
          <w:p w:rsidR="00923D3D" w:rsidRPr="00486646" w:rsidRDefault="00923D3D" w:rsidP="00334A7E">
            <w:pPr>
              <w:jc w:val="center"/>
              <w:rPr>
                <w:color w:val="000000"/>
                <w:sz w:val="24"/>
                <w:szCs w:val="24"/>
              </w:rPr>
            </w:pPr>
          </w:p>
        </w:tc>
        <w:tc>
          <w:tcPr>
            <w:tcW w:w="1559" w:type="dxa"/>
            <w:gridSpan w:val="2"/>
            <w:shd w:val="clear" w:color="auto" w:fill="auto"/>
            <w:noWrap/>
            <w:vAlign w:val="center"/>
            <w:hideMark/>
          </w:tcPr>
          <w:p w:rsidR="00923D3D" w:rsidRDefault="00923D3D" w:rsidP="00334A7E">
            <w:pPr>
              <w:rPr>
                <w:color w:val="000000"/>
                <w:sz w:val="24"/>
                <w:szCs w:val="24"/>
              </w:rPr>
            </w:pPr>
            <w:r w:rsidRPr="001A07AF">
              <w:rPr>
                <w:color w:val="000000"/>
                <w:sz w:val="24"/>
                <w:szCs w:val="24"/>
              </w:rPr>
              <w:t>$90,0</w:t>
            </w:r>
          </w:p>
        </w:tc>
      </w:tr>
      <w:tr w:rsidR="00923D3D" w:rsidRPr="00486646" w:rsidTr="00334A7E">
        <w:trPr>
          <w:trHeight w:val="300"/>
        </w:trPr>
        <w:tc>
          <w:tcPr>
            <w:tcW w:w="13150" w:type="dxa"/>
            <w:gridSpan w:val="6"/>
            <w:shd w:val="clear" w:color="auto" w:fill="auto"/>
            <w:noWrap/>
            <w:vAlign w:val="center"/>
            <w:hideMark/>
          </w:tcPr>
          <w:p w:rsidR="00923D3D" w:rsidRPr="00486646" w:rsidRDefault="00923D3D" w:rsidP="00334A7E">
            <w:pPr>
              <w:rPr>
                <w:color w:val="000000"/>
                <w:sz w:val="24"/>
                <w:szCs w:val="24"/>
              </w:rPr>
            </w:pPr>
          </w:p>
        </w:tc>
        <w:tc>
          <w:tcPr>
            <w:tcW w:w="1872" w:type="dxa"/>
            <w:shd w:val="clear" w:color="auto" w:fill="auto"/>
            <w:noWrap/>
            <w:vAlign w:val="center"/>
            <w:hideMark/>
          </w:tcPr>
          <w:p w:rsidR="00923D3D" w:rsidRPr="00486646" w:rsidRDefault="00923D3D" w:rsidP="00334A7E">
            <w:pPr>
              <w:jc w:val="center"/>
              <w:rPr>
                <w:color w:val="000000"/>
                <w:sz w:val="24"/>
                <w:szCs w:val="24"/>
              </w:rPr>
            </w:pPr>
          </w:p>
        </w:tc>
      </w:tr>
    </w:tbl>
    <w:p w:rsidR="00923D3D" w:rsidRPr="00486646" w:rsidRDefault="00923D3D" w:rsidP="00923D3D">
      <w:pPr>
        <w:pStyle w:val="ad"/>
        <w:numPr>
          <w:ilvl w:val="0"/>
          <w:numId w:val="34"/>
        </w:numPr>
        <w:spacing w:after="200" w:line="276" w:lineRule="auto"/>
        <w:contextualSpacing/>
        <w:rPr>
          <w:szCs w:val="28"/>
        </w:rPr>
      </w:pPr>
      <w:r w:rsidRPr="001A07AF">
        <w:rPr>
          <w:szCs w:val="28"/>
        </w:rPr>
        <w:t>Арендные ставки ООО «РокоНорд»*</w:t>
      </w:r>
    </w:p>
    <w:p w:rsidR="00923D3D" w:rsidRDefault="00923D3D" w:rsidP="00923D3D">
      <w:pPr>
        <w:spacing w:after="200" w:line="276" w:lineRule="auto"/>
        <w:rPr>
          <w:szCs w:val="28"/>
        </w:rPr>
      </w:pPr>
      <w:r>
        <w:rPr>
          <w:noProof/>
          <w:szCs w:val="28"/>
        </w:rPr>
        <w:drawing>
          <wp:anchor distT="0" distB="0" distL="114300" distR="114300" simplePos="0" relativeHeight="251661312" behindDoc="1" locked="0" layoutInCell="1" allowOverlap="1">
            <wp:simplePos x="0" y="0"/>
            <wp:positionH relativeFrom="column">
              <wp:posOffset>211124</wp:posOffset>
            </wp:positionH>
            <wp:positionV relativeFrom="paragraph">
              <wp:posOffset>-773</wp:posOffset>
            </wp:positionV>
            <wp:extent cx="5944428" cy="1423283"/>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4428" cy="1423283"/>
                    </a:xfrm>
                    <a:prstGeom prst="rect">
                      <a:avLst/>
                    </a:prstGeom>
                    <a:noFill/>
                    <a:ln w="9525">
                      <a:noFill/>
                      <a:miter lim="800000"/>
                      <a:headEnd/>
                      <a:tailEnd/>
                    </a:ln>
                  </pic:spPr>
                </pic:pic>
              </a:graphicData>
            </a:graphic>
          </wp:anchor>
        </w:drawing>
      </w:r>
    </w:p>
    <w:p w:rsidR="00923D3D" w:rsidRDefault="00923D3D" w:rsidP="00923D3D">
      <w:pPr>
        <w:spacing w:after="200" w:line="276" w:lineRule="auto"/>
        <w:rPr>
          <w:szCs w:val="28"/>
        </w:rPr>
      </w:pPr>
    </w:p>
    <w:p w:rsidR="00923D3D" w:rsidRDefault="00923D3D" w:rsidP="00923D3D">
      <w:pPr>
        <w:spacing w:after="200" w:line="276" w:lineRule="auto"/>
        <w:rPr>
          <w:szCs w:val="28"/>
        </w:rPr>
      </w:pPr>
    </w:p>
    <w:p w:rsidR="00923D3D" w:rsidRDefault="00923D3D" w:rsidP="00923D3D">
      <w:pPr>
        <w:spacing w:after="200" w:line="276" w:lineRule="auto"/>
        <w:rPr>
          <w:szCs w:val="28"/>
        </w:rPr>
      </w:pPr>
    </w:p>
    <w:p w:rsidR="00923D3D" w:rsidRPr="00486646" w:rsidRDefault="00923D3D" w:rsidP="00923D3D">
      <w:pPr>
        <w:pStyle w:val="ad"/>
        <w:spacing w:after="200" w:line="276" w:lineRule="auto"/>
        <w:ind w:left="1069"/>
        <w:rPr>
          <w:szCs w:val="28"/>
        </w:rPr>
      </w:pPr>
      <w:r w:rsidRPr="001A07AF">
        <w:rPr>
          <w:szCs w:val="28"/>
        </w:rPr>
        <w:t>* - указанные арендные ставки не включают  дополнительные расходы:</w:t>
      </w:r>
    </w:p>
    <w:tbl>
      <w:tblPr>
        <w:tblW w:w="0" w:type="auto"/>
        <w:tblLook w:val="04A0"/>
      </w:tblPr>
      <w:tblGrid>
        <w:gridCol w:w="5070"/>
        <w:gridCol w:w="2268"/>
      </w:tblGrid>
      <w:tr w:rsidR="00923D3D" w:rsidRPr="00486646" w:rsidTr="00334A7E">
        <w:tc>
          <w:tcPr>
            <w:tcW w:w="5070" w:type="dxa"/>
          </w:tcPr>
          <w:p w:rsidR="00923D3D" w:rsidRPr="00486646" w:rsidRDefault="00923D3D" w:rsidP="00334A7E">
            <w:pPr>
              <w:rPr>
                <w:color w:val="000000"/>
                <w:sz w:val="24"/>
                <w:szCs w:val="24"/>
              </w:rPr>
            </w:pPr>
            <w:r w:rsidRPr="001A07AF">
              <w:rPr>
                <w:color w:val="000000"/>
                <w:sz w:val="24"/>
                <w:szCs w:val="24"/>
              </w:rPr>
              <w:t>Плата за выдачу ТК (без НДС)</w:t>
            </w:r>
          </w:p>
        </w:tc>
        <w:tc>
          <w:tcPr>
            <w:tcW w:w="2268" w:type="dxa"/>
          </w:tcPr>
          <w:p w:rsidR="00923D3D" w:rsidRPr="00486646" w:rsidRDefault="00923D3D" w:rsidP="00334A7E">
            <w:pPr>
              <w:rPr>
                <w:color w:val="000000"/>
                <w:sz w:val="24"/>
                <w:szCs w:val="24"/>
              </w:rPr>
            </w:pPr>
            <w:r w:rsidRPr="001A07AF">
              <w:rPr>
                <w:color w:val="000000"/>
                <w:sz w:val="24"/>
                <w:szCs w:val="24"/>
              </w:rPr>
              <w:t>7500 руб.</w:t>
            </w:r>
          </w:p>
        </w:tc>
      </w:tr>
      <w:tr w:rsidR="00923D3D" w:rsidRPr="00486646" w:rsidTr="00334A7E">
        <w:tc>
          <w:tcPr>
            <w:tcW w:w="5070" w:type="dxa"/>
          </w:tcPr>
          <w:p w:rsidR="00923D3D" w:rsidRPr="00486646" w:rsidRDefault="00923D3D" w:rsidP="00334A7E">
            <w:pPr>
              <w:rPr>
                <w:color w:val="000000"/>
                <w:sz w:val="24"/>
                <w:szCs w:val="24"/>
              </w:rPr>
            </w:pPr>
            <w:r w:rsidRPr="001A07AF">
              <w:rPr>
                <w:color w:val="000000"/>
                <w:sz w:val="24"/>
                <w:szCs w:val="24"/>
              </w:rPr>
              <w:t>Плата за прием ТК (без НДС)</w:t>
            </w:r>
          </w:p>
        </w:tc>
        <w:tc>
          <w:tcPr>
            <w:tcW w:w="2268" w:type="dxa"/>
          </w:tcPr>
          <w:p w:rsidR="00923D3D" w:rsidRPr="00486646" w:rsidRDefault="00923D3D" w:rsidP="00334A7E">
            <w:pPr>
              <w:rPr>
                <w:color w:val="000000"/>
                <w:sz w:val="24"/>
                <w:szCs w:val="24"/>
              </w:rPr>
            </w:pPr>
            <w:r w:rsidRPr="001A07AF">
              <w:rPr>
                <w:color w:val="000000"/>
                <w:sz w:val="24"/>
                <w:szCs w:val="24"/>
              </w:rPr>
              <w:t>7500 руб.</w:t>
            </w:r>
          </w:p>
        </w:tc>
      </w:tr>
    </w:tbl>
    <w:p w:rsidR="00375DA1" w:rsidRDefault="00375DA1" w:rsidP="00923D3D">
      <w:pPr>
        <w:rPr>
          <w:sz w:val="22"/>
          <w:szCs w:val="22"/>
        </w:rPr>
      </w:pPr>
    </w:p>
    <w:sectPr w:rsidR="00375DA1" w:rsidSect="00923D3D">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D09" w:rsidRDefault="00087D09" w:rsidP="00B470FA">
      <w:r>
        <w:separator/>
      </w:r>
    </w:p>
  </w:endnote>
  <w:endnote w:type="continuationSeparator" w:id="1">
    <w:p w:rsidR="00087D09" w:rsidRDefault="00087D0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D09" w:rsidRDefault="00087D09" w:rsidP="00B470FA">
      <w:r>
        <w:separator/>
      </w:r>
    </w:p>
  </w:footnote>
  <w:footnote w:type="continuationSeparator" w:id="1">
    <w:p w:rsidR="00087D09" w:rsidRDefault="00087D0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677"/>
      <w:docPartObj>
        <w:docPartGallery w:val="Page Numbers (Top of Page)"/>
        <w:docPartUnique/>
      </w:docPartObj>
    </w:sdtPr>
    <w:sdtEndPr>
      <w:rPr>
        <w:sz w:val="24"/>
        <w:szCs w:val="24"/>
      </w:rPr>
    </w:sdtEndPr>
    <w:sdtContent>
      <w:p w:rsidR="00713A28" w:rsidRPr="00636E16" w:rsidRDefault="00C003FE" w:rsidP="00636E16">
        <w:pPr>
          <w:pStyle w:val="aff"/>
          <w:jc w:val="center"/>
          <w:rPr>
            <w:sz w:val="24"/>
            <w:szCs w:val="24"/>
          </w:rPr>
        </w:pPr>
        <w:r w:rsidRPr="00636E16">
          <w:rPr>
            <w:sz w:val="24"/>
            <w:szCs w:val="24"/>
          </w:rPr>
          <w:fldChar w:fldCharType="begin"/>
        </w:r>
        <w:r w:rsidR="00713A28" w:rsidRPr="00636E16">
          <w:rPr>
            <w:sz w:val="24"/>
            <w:szCs w:val="24"/>
          </w:rPr>
          <w:instrText>PAGE   \* MERGEFORMAT</w:instrText>
        </w:r>
        <w:r w:rsidRPr="00636E16">
          <w:rPr>
            <w:sz w:val="24"/>
            <w:szCs w:val="24"/>
          </w:rPr>
          <w:fldChar w:fldCharType="separate"/>
        </w:r>
        <w:r w:rsidR="00002F1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331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2F12"/>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3FE"/>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F3D-A1B4-43F4-A68D-E502E36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536</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2014-06-26T05:09:00Z</dcterms:created>
  <dcterms:modified xsi:type="dcterms:W3CDTF">2014-06-26T05:09:00Z</dcterms:modified>
</cp:coreProperties>
</file>