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229B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31D4">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31D4">
        <w:rPr>
          <w:b/>
          <w:bCs/>
          <w:szCs w:val="28"/>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31D4" w:rsidRPr="00874205" w:rsidRDefault="00874205" w:rsidP="00F131D4">
      <w:pPr>
        <w:ind w:left="720"/>
        <w:jc w:val="both"/>
        <w:rPr>
          <w:lang w:val="en-US"/>
        </w:rPr>
      </w:pPr>
      <w:r>
        <w:rPr>
          <w:lang w:val="en-US"/>
        </w:rPr>
        <w:t>….</w:t>
      </w:r>
    </w:p>
    <w:p w:rsidR="00F131D4" w:rsidRDefault="00F131D4" w:rsidP="00F131D4">
      <w:pPr>
        <w:ind w:left="720"/>
        <w:jc w:val="both"/>
      </w:pPr>
    </w:p>
    <w:p w:rsidR="00F131D4" w:rsidRPr="00C64E36" w:rsidRDefault="00F131D4" w:rsidP="00E44DB3">
      <w:pPr>
        <w:numPr>
          <w:ilvl w:val="0"/>
          <w:numId w:val="17"/>
        </w:numPr>
        <w:ind w:left="720"/>
        <w:jc w:val="both"/>
      </w:pPr>
      <w:r>
        <w:t>Подведение итогов з</w:t>
      </w:r>
      <w:r w:rsidRPr="003D5481">
        <w:t>апроса предложений</w:t>
      </w:r>
      <w:r>
        <w:t xml:space="preserve"> </w:t>
      </w:r>
      <w:r w:rsidRPr="003D5481">
        <w:t xml:space="preserve">на право заключения договора на обеспечение  дизельным топливом - картами, талонами,  Агентства контейнерных перевозок на станции Благовещенск в 2014 году. </w:t>
      </w:r>
    </w:p>
    <w:p w:rsidR="00F131D4" w:rsidRDefault="00F131D4" w:rsidP="00F131D4">
      <w:pPr>
        <w:ind w:left="720"/>
        <w:jc w:val="both"/>
      </w:pPr>
      <w:r>
        <w:t>Докладчик: ЦКПРТ Никонов М.Н.</w:t>
      </w:r>
    </w:p>
    <w:p w:rsidR="00F131D4" w:rsidRDefault="00F131D4" w:rsidP="00F131D4">
      <w:pPr>
        <w:ind w:left="709"/>
        <w:rPr>
          <w:u w:val="single"/>
        </w:rPr>
      </w:pPr>
      <w:r>
        <w:t>Заявка в АСБК: Т10044123, Т10044782, Т10044783, Т10044784.</w:t>
      </w:r>
    </w:p>
    <w:p w:rsidR="00F131D4" w:rsidRDefault="00F131D4" w:rsidP="00F131D4">
      <w:pPr>
        <w:ind w:left="709"/>
        <w:jc w:val="both"/>
        <w:rPr>
          <w:sz w:val="20"/>
        </w:rPr>
      </w:pPr>
      <w:r>
        <w:t xml:space="preserve">Конкурс: </w:t>
      </w:r>
      <w:r w:rsidRPr="00E6510A">
        <w:t>ЗП/002/</w:t>
      </w:r>
      <w:proofErr w:type="spellStart"/>
      <w:r w:rsidRPr="00E6510A">
        <w:t>НКПЗаб</w:t>
      </w:r>
      <w:proofErr w:type="spellEnd"/>
      <w:r w:rsidRPr="00E6510A">
        <w:t>/0002</w:t>
      </w:r>
    </w:p>
    <w:p w:rsidR="00F131D4" w:rsidRPr="00E44DB3" w:rsidRDefault="00F131D4" w:rsidP="00F131D4">
      <w:pPr>
        <w:jc w:val="both"/>
        <w:rPr>
          <w:szCs w:val="28"/>
        </w:rPr>
      </w:pPr>
    </w:p>
    <w:p w:rsidR="006345CD" w:rsidRPr="005A5A30" w:rsidRDefault="004D1851" w:rsidP="00E44DB3">
      <w:pPr>
        <w:ind w:firstLine="708"/>
        <w:jc w:val="both"/>
      </w:pPr>
      <w:r w:rsidRPr="005A5A30">
        <w:t>….</w:t>
      </w:r>
    </w:p>
    <w:p w:rsidR="006345CD" w:rsidRDefault="006345CD" w:rsidP="00E44DB3">
      <w:pPr>
        <w:jc w:val="both"/>
      </w:pPr>
    </w:p>
    <w:p w:rsidR="00144444" w:rsidRDefault="006C0FDD" w:rsidP="00D92CF1">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6C0FDD" w:rsidRPr="00E44DB3" w:rsidRDefault="008C6D11" w:rsidP="00E44DB3">
      <w:pPr>
        <w:pStyle w:val="ad"/>
        <w:numPr>
          <w:ilvl w:val="0"/>
          <w:numId w:val="20"/>
        </w:numPr>
        <w:ind w:left="0" w:firstLine="709"/>
        <w:jc w:val="both"/>
        <w:rPr>
          <w:b/>
          <w:szCs w:val="28"/>
        </w:rPr>
      </w:pPr>
      <w:r>
        <w:t>З</w:t>
      </w:r>
      <w:r w:rsidRPr="003D5481">
        <w:t>апрос предложений</w:t>
      </w:r>
      <w:r>
        <w:t xml:space="preserve"> №</w:t>
      </w:r>
      <w:r w:rsidRPr="008C6D11">
        <w:t xml:space="preserve"> </w:t>
      </w:r>
      <w:r w:rsidRPr="00E6510A">
        <w:t>ЗП/002/</w:t>
      </w:r>
      <w:proofErr w:type="spellStart"/>
      <w:r w:rsidRPr="00E6510A">
        <w:t>НКПЗаб</w:t>
      </w:r>
      <w:proofErr w:type="spellEnd"/>
      <w:r w:rsidRPr="00E6510A">
        <w:t>/0002</w:t>
      </w:r>
      <w:r>
        <w:t xml:space="preserve"> </w:t>
      </w:r>
      <w:r w:rsidRPr="003D5481">
        <w:t xml:space="preserve">на право заключения </w:t>
      </w:r>
      <w:proofErr w:type="gramStart"/>
      <w:r w:rsidRPr="003D5481">
        <w:t>договора</w:t>
      </w:r>
      <w:proofErr w:type="gramEnd"/>
      <w:r w:rsidRPr="003D5481">
        <w:t xml:space="preserve"> на обеспечение  дизельным топливом - картами, талонами,  Агентства контейнерных перевозок на станции Благовещенск в 2014 году</w:t>
      </w:r>
      <w:r>
        <w:t xml:space="preserve"> признан состоявшимся.</w:t>
      </w:r>
    </w:p>
    <w:p w:rsidR="008C6D11" w:rsidRDefault="008C6D11" w:rsidP="00E44DB3">
      <w:pPr>
        <w:pStyle w:val="ad"/>
        <w:numPr>
          <w:ilvl w:val="0"/>
          <w:numId w:val="20"/>
        </w:numPr>
        <w:ind w:left="0" w:firstLine="709"/>
        <w:jc w:val="both"/>
      </w:pPr>
      <w:r w:rsidRPr="006345CD">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rsidR="00454554">
        <w:t>Забайкальской</w:t>
      </w:r>
      <w:r w:rsidRPr="004642AB">
        <w:t xml:space="preserve"> железной дороге</w:t>
      </w:r>
      <w:r w:rsidRPr="006345CD">
        <w:rPr>
          <w:szCs w:val="28"/>
        </w:rPr>
        <w:t xml:space="preserve"> (Протокол № </w:t>
      </w:r>
      <w:r>
        <w:rPr>
          <w:szCs w:val="28"/>
        </w:rPr>
        <w:t>1</w:t>
      </w:r>
      <w:r w:rsidRPr="006345CD">
        <w:rPr>
          <w:szCs w:val="28"/>
        </w:rPr>
        <w:t xml:space="preserve">/ПРГ заседания, состоявшегося </w:t>
      </w:r>
      <w:r w:rsidRPr="00EE19FA">
        <w:rPr>
          <w:szCs w:val="28"/>
        </w:rPr>
        <w:t>2</w:t>
      </w:r>
      <w:r>
        <w:rPr>
          <w:szCs w:val="28"/>
        </w:rPr>
        <w:t>0</w:t>
      </w:r>
      <w:r w:rsidRPr="00EE19FA">
        <w:rPr>
          <w:szCs w:val="28"/>
        </w:rPr>
        <w:t xml:space="preserve"> февраля 2014 г.) в части принятия решения допустить к участию в </w:t>
      </w:r>
      <w:r w:rsidR="009C2505">
        <w:rPr>
          <w:szCs w:val="28"/>
        </w:rPr>
        <w:t>запросе предложений</w:t>
      </w:r>
      <w:r w:rsidRPr="00EE19FA">
        <w:rPr>
          <w:szCs w:val="28"/>
        </w:rPr>
        <w:t xml:space="preserve"> </w:t>
      </w:r>
      <w:r w:rsidR="00454554" w:rsidRPr="00E44DB3">
        <w:rPr>
          <w:szCs w:val="28"/>
        </w:rPr>
        <w:t>ООО «РН-Карт Дальний  Восток», ООО «Дальневосточная нефтяная компания», ОАО «Амурнефтепродукт».</w:t>
      </w:r>
    </w:p>
    <w:p w:rsidR="00454554" w:rsidRPr="00E44DB3" w:rsidRDefault="00454554" w:rsidP="00E44DB3">
      <w:pPr>
        <w:pStyle w:val="ad"/>
        <w:numPr>
          <w:ilvl w:val="0"/>
          <w:numId w:val="20"/>
        </w:numPr>
        <w:ind w:left="0" w:firstLine="709"/>
        <w:jc w:val="both"/>
        <w:rPr>
          <w:szCs w:val="28"/>
        </w:rPr>
      </w:pPr>
      <w:r w:rsidRPr="009C2505">
        <w:rPr>
          <w:szCs w:val="28"/>
        </w:rPr>
        <w:lastRenderedPageBreak/>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t>Забайкальской</w:t>
      </w:r>
      <w:r w:rsidRPr="004642AB">
        <w:t xml:space="preserve"> железной дороге</w:t>
      </w:r>
      <w:r w:rsidRPr="009C2505">
        <w:rPr>
          <w:szCs w:val="28"/>
        </w:rPr>
        <w:t xml:space="preserve"> (Протокол № 1/ПРГ заседания, состоявшегося </w:t>
      </w:r>
      <w:r w:rsidRPr="00BD31A9">
        <w:rPr>
          <w:szCs w:val="28"/>
        </w:rPr>
        <w:t>20 ф</w:t>
      </w:r>
      <w:r w:rsidRPr="006307A8">
        <w:rPr>
          <w:szCs w:val="28"/>
        </w:rPr>
        <w:t>евраля 2014 г.) в части присвоения участникам порядковых номеров и определения победителя, принято решение:</w:t>
      </w:r>
    </w:p>
    <w:p w:rsidR="00454554" w:rsidRPr="00D0127E" w:rsidRDefault="00454554" w:rsidP="00454554">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Style w:val="72"/>
        <w:tblW w:w="7939" w:type="dxa"/>
        <w:jc w:val="center"/>
        <w:tblInd w:w="108" w:type="dxa"/>
        <w:tblLook w:val="04A0"/>
      </w:tblPr>
      <w:tblGrid>
        <w:gridCol w:w="4678"/>
        <w:gridCol w:w="1560"/>
        <w:gridCol w:w="1701"/>
      </w:tblGrid>
      <w:tr w:rsidR="00454554" w:rsidRPr="00E44DB3" w:rsidTr="00E44DB3">
        <w:trPr>
          <w:jc w:val="center"/>
        </w:trPr>
        <w:tc>
          <w:tcPr>
            <w:tcW w:w="4678" w:type="dxa"/>
          </w:tcPr>
          <w:p w:rsidR="00454554" w:rsidRPr="00E44DB3" w:rsidRDefault="00454554" w:rsidP="00454554">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Сведения об организации</w:t>
            </w:r>
          </w:p>
          <w:p w:rsidR="00454554" w:rsidRPr="00E44DB3" w:rsidRDefault="00454554" w:rsidP="00454554">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(наименование, ИНН, КПП, ОГРН)</w:t>
            </w:r>
          </w:p>
        </w:tc>
        <w:tc>
          <w:tcPr>
            <w:tcW w:w="1560" w:type="dxa"/>
          </w:tcPr>
          <w:p w:rsidR="00454554" w:rsidRPr="00E44DB3" w:rsidRDefault="00454554" w:rsidP="00454554">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Количество баллов</w:t>
            </w:r>
          </w:p>
        </w:tc>
        <w:tc>
          <w:tcPr>
            <w:tcW w:w="1701" w:type="dxa"/>
          </w:tcPr>
          <w:p w:rsidR="00454554" w:rsidRPr="00E44DB3" w:rsidRDefault="00454554" w:rsidP="00454554">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Порядковый номер</w:t>
            </w:r>
          </w:p>
        </w:tc>
      </w:tr>
      <w:tr w:rsidR="00454554" w:rsidRPr="00E44DB3" w:rsidTr="00E44DB3">
        <w:trPr>
          <w:trHeight w:val="879"/>
          <w:jc w:val="center"/>
        </w:trPr>
        <w:tc>
          <w:tcPr>
            <w:tcW w:w="4678" w:type="dxa"/>
            <w:vAlign w:val="center"/>
          </w:tcPr>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Общество с Ограниченной Ответственностью «РН-Карт Дальний Восток»</w:t>
            </w:r>
          </w:p>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 xml:space="preserve">(ООО «РН-Карт Дальний  Восток»), </w:t>
            </w:r>
          </w:p>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ИНН 2721158774, КПП 272101001,</w:t>
            </w:r>
          </w:p>
          <w:p w:rsidR="00454554" w:rsidRPr="00E44DB3" w:rsidRDefault="00454554" w:rsidP="00454554">
            <w:pPr>
              <w:tabs>
                <w:tab w:val="left" w:pos="709"/>
              </w:tabs>
              <w:jc w:val="both"/>
              <w:rPr>
                <w:rFonts w:ascii="Times New Roman" w:hAnsi="Times New Roman" w:cs="Times New Roman"/>
                <w:snapToGrid w:val="0"/>
              </w:rPr>
            </w:pPr>
            <w:r w:rsidRPr="00E44DB3">
              <w:rPr>
                <w:rFonts w:ascii="Times New Roman" w:eastAsia="Calibri" w:hAnsi="Times New Roman" w:cs="Times New Roman"/>
                <w:color w:val="000000"/>
                <w:sz w:val="24"/>
                <w:szCs w:val="24"/>
              </w:rPr>
              <w:t>ОГРН 1047796395305</w:t>
            </w:r>
          </w:p>
        </w:tc>
        <w:tc>
          <w:tcPr>
            <w:tcW w:w="1560" w:type="dxa"/>
            <w:vAlign w:val="center"/>
          </w:tcPr>
          <w:p w:rsidR="00454554" w:rsidRPr="00E44DB3" w:rsidRDefault="00454554" w:rsidP="00454554">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2,3</w:t>
            </w:r>
          </w:p>
        </w:tc>
        <w:tc>
          <w:tcPr>
            <w:tcW w:w="1701" w:type="dxa"/>
            <w:vAlign w:val="center"/>
          </w:tcPr>
          <w:p w:rsidR="00454554" w:rsidRPr="00E44DB3" w:rsidRDefault="00454554" w:rsidP="00454554">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2</w:t>
            </w:r>
          </w:p>
        </w:tc>
      </w:tr>
      <w:tr w:rsidR="00454554" w:rsidRPr="00E44DB3" w:rsidTr="00E44DB3">
        <w:trPr>
          <w:trHeight w:val="836"/>
          <w:jc w:val="center"/>
        </w:trPr>
        <w:tc>
          <w:tcPr>
            <w:tcW w:w="4678" w:type="dxa"/>
            <w:vAlign w:val="center"/>
          </w:tcPr>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Общество с Ограниченной Ответственностью «Дальневосточная нефтяная компания»</w:t>
            </w:r>
          </w:p>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 xml:space="preserve">(ООО «Дальневосточная нефтяная компания»), </w:t>
            </w:r>
          </w:p>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ИНН 2801097326, КПП280101001,</w:t>
            </w:r>
          </w:p>
          <w:p w:rsidR="00454554" w:rsidRPr="00E44DB3" w:rsidRDefault="00454554" w:rsidP="00454554">
            <w:pPr>
              <w:tabs>
                <w:tab w:val="left" w:pos="709"/>
              </w:tabs>
              <w:jc w:val="both"/>
              <w:rPr>
                <w:rFonts w:ascii="Times New Roman" w:hAnsi="Times New Roman" w:cs="Times New Roman"/>
                <w:snapToGrid w:val="0"/>
              </w:rPr>
            </w:pPr>
            <w:r w:rsidRPr="00E44DB3">
              <w:rPr>
                <w:rFonts w:ascii="Times New Roman" w:eastAsia="Calibri" w:hAnsi="Times New Roman" w:cs="Times New Roman"/>
                <w:color w:val="000000"/>
                <w:sz w:val="24"/>
                <w:szCs w:val="24"/>
              </w:rPr>
              <w:t>ОГРН 1042800020141</w:t>
            </w:r>
          </w:p>
        </w:tc>
        <w:tc>
          <w:tcPr>
            <w:tcW w:w="1560" w:type="dxa"/>
            <w:vAlign w:val="center"/>
          </w:tcPr>
          <w:p w:rsidR="00454554" w:rsidRPr="00E44DB3" w:rsidRDefault="00454554" w:rsidP="00454554">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1,6</w:t>
            </w:r>
          </w:p>
        </w:tc>
        <w:tc>
          <w:tcPr>
            <w:tcW w:w="1701" w:type="dxa"/>
            <w:vAlign w:val="center"/>
          </w:tcPr>
          <w:p w:rsidR="00454554" w:rsidRPr="00E44DB3" w:rsidRDefault="00454554" w:rsidP="00454554">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3</w:t>
            </w:r>
          </w:p>
        </w:tc>
      </w:tr>
      <w:tr w:rsidR="00454554" w:rsidRPr="00E44DB3" w:rsidTr="00E44DB3">
        <w:trPr>
          <w:trHeight w:val="836"/>
          <w:jc w:val="center"/>
        </w:trPr>
        <w:tc>
          <w:tcPr>
            <w:tcW w:w="4678" w:type="dxa"/>
            <w:vAlign w:val="center"/>
          </w:tcPr>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Открытое Акционерное Общество «Амурнефтепродукт»</w:t>
            </w:r>
          </w:p>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 xml:space="preserve">(ОАО «Амурнефтепродукт»), </w:t>
            </w:r>
          </w:p>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ИНН 2801013238, КПП280150001,</w:t>
            </w:r>
          </w:p>
          <w:p w:rsidR="00454554" w:rsidRPr="00E44DB3" w:rsidRDefault="00454554" w:rsidP="00454554">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ОГРН 1022800514890</w:t>
            </w:r>
          </w:p>
        </w:tc>
        <w:tc>
          <w:tcPr>
            <w:tcW w:w="1560" w:type="dxa"/>
            <w:vAlign w:val="center"/>
          </w:tcPr>
          <w:p w:rsidR="00454554" w:rsidRPr="00E44DB3" w:rsidRDefault="00454554" w:rsidP="00454554">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2,9</w:t>
            </w:r>
          </w:p>
        </w:tc>
        <w:tc>
          <w:tcPr>
            <w:tcW w:w="1701" w:type="dxa"/>
            <w:vAlign w:val="center"/>
          </w:tcPr>
          <w:p w:rsidR="00454554" w:rsidRPr="00E44DB3" w:rsidRDefault="00454554" w:rsidP="00454554">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1</w:t>
            </w:r>
          </w:p>
        </w:tc>
      </w:tr>
    </w:tbl>
    <w:p w:rsidR="008C6D11" w:rsidRDefault="008C6D11" w:rsidP="00E44DB3">
      <w:pPr>
        <w:pStyle w:val="ad"/>
        <w:ind w:left="0"/>
        <w:jc w:val="both"/>
        <w:rPr>
          <w:b/>
          <w:szCs w:val="28"/>
        </w:rPr>
      </w:pPr>
    </w:p>
    <w:p w:rsidR="00454554" w:rsidRPr="004E23C0" w:rsidRDefault="00454554" w:rsidP="00E44DB3">
      <w:pPr>
        <w:pStyle w:val="ad"/>
        <w:numPr>
          <w:ilvl w:val="1"/>
          <w:numId w:val="10"/>
        </w:numPr>
        <w:tabs>
          <w:tab w:val="left" w:pos="851"/>
        </w:tabs>
        <w:ind w:left="0" w:firstLine="709"/>
        <w:jc w:val="both"/>
        <w:rPr>
          <w:szCs w:val="28"/>
        </w:rPr>
      </w:pPr>
      <w:r w:rsidRPr="004E23C0">
        <w:rPr>
          <w:szCs w:val="28"/>
        </w:rPr>
        <w:t>признать победителем запроса предложений</w:t>
      </w:r>
      <w:r w:rsidRPr="004E23C0">
        <w:rPr>
          <w:rFonts w:eastAsia="Calibri"/>
          <w:color w:val="000000"/>
          <w:szCs w:val="28"/>
        </w:rPr>
        <w:t xml:space="preserve"> </w:t>
      </w:r>
      <w:r w:rsidR="007D4AC4">
        <w:rPr>
          <w:rFonts w:eastAsia="Calibri"/>
          <w:color w:val="000000"/>
          <w:szCs w:val="28"/>
        </w:rPr>
        <w:t xml:space="preserve">                                          </w:t>
      </w:r>
      <w:r w:rsidR="007D4AC4" w:rsidRPr="00E44DB3">
        <w:rPr>
          <w:rFonts w:eastAsia="Calibri"/>
          <w:color w:val="000000"/>
          <w:szCs w:val="28"/>
        </w:rPr>
        <w:t>ОАО «Амурнефтепродукт»</w:t>
      </w:r>
      <w:r w:rsidR="007D4AC4">
        <w:rPr>
          <w:szCs w:val="28"/>
        </w:rPr>
        <w:t xml:space="preserve"> </w:t>
      </w:r>
      <w:r w:rsidRPr="004E23C0">
        <w:rPr>
          <w:szCs w:val="28"/>
        </w:rPr>
        <w:t>и заключить с ним договор на следующих условиях:</w:t>
      </w:r>
    </w:p>
    <w:p w:rsidR="00830BA2" w:rsidRPr="00E44DB3" w:rsidRDefault="00830BA2" w:rsidP="00E44DB3">
      <w:pPr>
        <w:autoSpaceDE w:val="0"/>
        <w:autoSpaceDN w:val="0"/>
        <w:adjustRightInd w:val="0"/>
        <w:ind w:firstLine="709"/>
        <w:jc w:val="both"/>
        <w:rPr>
          <w:color w:val="000000"/>
          <w:szCs w:val="28"/>
        </w:rPr>
      </w:pPr>
      <w:r w:rsidRPr="00E44DB3">
        <w:rPr>
          <w:b/>
          <w:bCs/>
          <w:color w:val="000000"/>
          <w:szCs w:val="28"/>
        </w:rPr>
        <w:t xml:space="preserve">Предмет Договора: </w:t>
      </w:r>
      <w:r w:rsidR="007D4AC4">
        <w:rPr>
          <w:color w:val="000000"/>
          <w:szCs w:val="28"/>
        </w:rPr>
        <w:t>поставка</w:t>
      </w:r>
      <w:r w:rsidRPr="00E44DB3">
        <w:rPr>
          <w:color w:val="000000"/>
          <w:szCs w:val="28"/>
        </w:rPr>
        <w:t xml:space="preserve">  дизельн</w:t>
      </w:r>
      <w:r w:rsidR="007D4AC4">
        <w:rPr>
          <w:color w:val="000000"/>
          <w:szCs w:val="28"/>
        </w:rPr>
        <w:t>ого</w:t>
      </w:r>
      <w:r w:rsidRPr="00E44DB3">
        <w:rPr>
          <w:color w:val="000000"/>
          <w:szCs w:val="28"/>
        </w:rPr>
        <w:t xml:space="preserve"> топлив</w:t>
      </w:r>
      <w:r w:rsidR="007D4AC4">
        <w:rPr>
          <w:color w:val="000000"/>
          <w:szCs w:val="28"/>
        </w:rPr>
        <w:t>а</w:t>
      </w:r>
      <w:r w:rsidRPr="00E44DB3">
        <w:rPr>
          <w:color w:val="000000"/>
          <w:szCs w:val="28"/>
        </w:rPr>
        <w:t xml:space="preserve"> </w:t>
      </w:r>
      <w:r w:rsidR="007D4AC4">
        <w:rPr>
          <w:color w:val="000000"/>
          <w:szCs w:val="28"/>
        </w:rPr>
        <w:t xml:space="preserve">по </w:t>
      </w:r>
      <w:proofErr w:type="gramStart"/>
      <w:r w:rsidR="007D4AC4">
        <w:rPr>
          <w:color w:val="000000"/>
          <w:szCs w:val="28"/>
        </w:rPr>
        <w:t>топливным</w:t>
      </w:r>
      <w:proofErr w:type="gramEnd"/>
      <w:r w:rsidR="007D4AC4">
        <w:rPr>
          <w:color w:val="000000"/>
          <w:szCs w:val="28"/>
        </w:rPr>
        <w:t xml:space="preserve"> </w:t>
      </w:r>
      <w:r w:rsidRPr="00E44DB3">
        <w:rPr>
          <w:color w:val="000000"/>
          <w:szCs w:val="28"/>
        </w:rPr>
        <w:t>картами</w:t>
      </w:r>
      <w:r w:rsidR="007D4AC4">
        <w:rPr>
          <w:color w:val="000000"/>
          <w:szCs w:val="28"/>
        </w:rPr>
        <w:t xml:space="preserve"> и </w:t>
      </w:r>
      <w:r w:rsidRPr="00E44DB3">
        <w:rPr>
          <w:color w:val="000000"/>
          <w:szCs w:val="28"/>
        </w:rPr>
        <w:t>талонами</w:t>
      </w:r>
      <w:r w:rsidR="007D4AC4">
        <w:rPr>
          <w:color w:val="000000"/>
          <w:szCs w:val="28"/>
        </w:rPr>
        <w:t xml:space="preserve"> для </w:t>
      </w:r>
      <w:r w:rsidRPr="00E44DB3">
        <w:rPr>
          <w:color w:val="000000"/>
          <w:szCs w:val="28"/>
        </w:rPr>
        <w:t>Агентства контейнерных перевозок на станции Благовещенск.</w:t>
      </w:r>
    </w:p>
    <w:p w:rsidR="00830BA2" w:rsidRPr="00E44DB3" w:rsidRDefault="00830BA2" w:rsidP="00830BA2">
      <w:pPr>
        <w:pStyle w:val="Default"/>
        <w:ind w:firstLine="709"/>
        <w:jc w:val="both"/>
        <w:rPr>
          <w:b/>
          <w:sz w:val="28"/>
          <w:szCs w:val="28"/>
        </w:rPr>
      </w:pPr>
      <w:r w:rsidRPr="00E44DB3">
        <w:rPr>
          <w:b/>
          <w:bCs/>
          <w:sz w:val="28"/>
          <w:szCs w:val="28"/>
        </w:rPr>
        <w:t>Количество (Объем) Продукции</w:t>
      </w:r>
      <w:r w:rsidRPr="00E44DB3">
        <w:rPr>
          <w:sz w:val="28"/>
          <w:szCs w:val="28"/>
        </w:rPr>
        <w:t xml:space="preserve">: объем поставляемого Топлива определяется исходя из потребностей заказчика и на основании его заявок. </w:t>
      </w:r>
    </w:p>
    <w:p w:rsidR="00830BA2" w:rsidRPr="00E44DB3" w:rsidRDefault="00830BA2" w:rsidP="00E44DB3">
      <w:pPr>
        <w:autoSpaceDE w:val="0"/>
        <w:autoSpaceDN w:val="0"/>
        <w:adjustRightInd w:val="0"/>
        <w:ind w:firstLine="709"/>
        <w:jc w:val="both"/>
        <w:rPr>
          <w:color w:val="000000"/>
          <w:szCs w:val="28"/>
        </w:rPr>
      </w:pPr>
      <w:r w:rsidRPr="00E44DB3">
        <w:rPr>
          <w:b/>
          <w:bCs/>
          <w:color w:val="000000"/>
          <w:szCs w:val="28"/>
        </w:rPr>
        <w:t xml:space="preserve">Максимальная цена договора: </w:t>
      </w:r>
      <w:r w:rsidRPr="00E44DB3">
        <w:rPr>
          <w:color w:val="000000"/>
          <w:szCs w:val="28"/>
        </w:rPr>
        <w:t xml:space="preserve">3 250 000,00 руб. (три миллиона двести пятьдесят тысяч  рублей 00 копеек) без учета НДС. НДС по ставке 18 % начисляется отдельно. </w:t>
      </w:r>
    </w:p>
    <w:p w:rsidR="00830BA2" w:rsidRPr="00E44DB3" w:rsidRDefault="00830BA2" w:rsidP="00E44DB3">
      <w:pPr>
        <w:pStyle w:val="Default"/>
        <w:ind w:firstLine="709"/>
        <w:jc w:val="both"/>
        <w:rPr>
          <w:sz w:val="28"/>
          <w:szCs w:val="28"/>
        </w:rPr>
      </w:pPr>
      <w:r w:rsidRPr="00E44DB3">
        <w:rPr>
          <w:b/>
          <w:bCs/>
          <w:sz w:val="28"/>
          <w:szCs w:val="28"/>
        </w:rPr>
        <w:t xml:space="preserve">Форма, сроки и порядок оплаты: </w:t>
      </w:r>
      <w:r w:rsidRPr="00E44DB3">
        <w:rPr>
          <w:sz w:val="28"/>
          <w:szCs w:val="28"/>
        </w:rPr>
        <w:t xml:space="preserve">оплата Топлива осуществляется филиалом 100% авансовым платежом, на основании Заявки Заказчика и выставленного Поставщиком счета в течение 15 (Пятнадцати) рабочих дней с даты его получения Заказчиком. </w:t>
      </w:r>
    </w:p>
    <w:p w:rsidR="00830BA2" w:rsidRPr="00E44DB3" w:rsidRDefault="00830BA2" w:rsidP="00E44DB3">
      <w:pPr>
        <w:pStyle w:val="Default"/>
        <w:ind w:firstLine="709"/>
        <w:jc w:val="both"/>
        <w:rPr>
          <w:sz w:val="28"/>
          <w:szCs w:val="28"/>
        </w:rPr>
      </w:pPr>
      <w:r w:rsidRPr="00E44DB3">
        <w:rPr>
          <w:sz w:val="28"/>
          <w:szCs w:val="28"/>
        </w:rPr>
        <w:t>Поставщик дает постоянную скидку в размере 1,5% от розничной цены Топлива на момент заправки.</w:t>
      </w:r>
    </w:p>
    <w:p w:rsidR="00830BA2" w:rsidRPr="004E23C0" w:rsidRDefault="00830BA2" w:rsidP="00E44DB3">
      <w:pPr>
        <w:autoSpaceDE w:val="0"/>
        <w:autoSpaceDN w:val="0"/>
        <w:adjustRightInd w:val="0"/>
        <w:ind w:firstLine="709"/>
        <w:jc w:val="both"/>
        <w:rPr>
          <w:szCs w:val="28"/>
        </w:rPr>
      </w:pPr>
      <w:r w:rsidRPr="004E23C0">
        <w:rPr>
          <w:b/>
          <w:szCs w:val="28"/>
        </w:rPr>
        <w:t xml:space="preserve">Особое условие: </w:t>
      </w:r>
      <w:r w:rsidRPr="004E23C0">
        <w:rPr>
          <w:szCs w:val="28"/>
        </w:rPr>
        <w:t>Заказчик оставляет за собой право неполной выборки вышеуказанного планируемого объема Топлива.</w:t>
      </w:r>
    </w:p>
    <w:p w:rsidR="00830BA2" w:rsidRPr="004E23C0" w:rsidRDefault="00830BA2" w:rsidP="00E44DB3">
      <w:pPr>
        <w:autoSpaceDE w:val="0"/>
        <w:autoSpaceDN w:val="0"/>
        <w:adjustRightInd w:val="0"/>
        <w:ind w:firstLine="709"/>
        <w:jc w:val="both"/>
        <w:rPr>
          <w:szCs w:val="28"/>
        </w:rPr>
      </w:pPr>
      <w:r w:rsidRPr="004E23C0">
        <w:rPr>
          <w:szCs w:val="28"/>
        </w:rPr>
        <w:t xml:space="preserve">Санкции за </w:t>
      </w:r>
      <w:proofErr w:type="spellStart"/>
      <w:r w:rsidRPr="004E23C0">
        <w:rPr>
          <w:szCs w:val="28"/>
        </w:rPr>
        <w:t>невыборку</w:t>
      </w:r>
      <w:proofErr w:type="spellEnd"/>
      <w:r w:rsidRPr="004E23C0">
        <w:rPr>
          <w:szCs w:val="28"/>
        </w:rPr>
        <w:t xml:space="preserve"> не могут быть предусмотрены. </w:t>
      </w:r>
    </w:p>
    <w:p w:rsidR="00830BA2" w:rsidRPr="00E44DB3" w:rsidRDefault="00830BA2" w:rsidP="00E44DB3">
      <w:pPr>
        <w:ind w:firstLine="709"/>
        <w:jc w:val="both"/>
        <w:rPr>
          <w:color w:val="000000"/>
          <w:szCs w:val="28"/>
        </w:rPr>
      </w:pPr>
      <w:r w:rsidRPr="00E44DB3">
        <w:rPr>
          <w:b/>
          <w:color w:val="000000"/>
          <w:szCs w:val="28"/>
        </w:rPr>
        <w:t>Место поставки:</w:t>
      </w:r>
      <w:r w:rsidRPr="00E44DB3">
        <w:rPr>
          <w:color w:val="000000"/>
          <w:szCs w:val="28"/>
        </w:rPr>
        <w:t xml:space="preserve"> автозаправочные станции Поставщика согласно прилагаемого к договору, согласованного Заказчиком, списка. (Приложение</w:t>
      </w:r>
      <w:r w:rsidR="008E52A6" w:rsidRPr="00E44DB3">
        <w:rPr>
          <w:color w:val="000000"/>
          <w:szCs w:val="28"/>
        </w:rPr>
        <w:t xml:space="preserve"> </w:t>
      </w:r>
      <w:r w:rsidR="004E23C0">
        <w:rPr>
          <w:color w:val="000000"/>
          <w:szCs w:val="28"/>
        </w:rPr>
        <w:t>№</w:t>
      </w:r>
      <w:r w:rsidR="006307A8">
        <w:rPr>
          <w:color w:val="000000"/>
          <w:szCs w:val="28"/>
        </w:rPr>
        <w:t>1</w:t>
      </w:r>
      <w:r w:rsidR="004E23C0">
        <w:rPr>
          <w:color w:val="000000"/>
          <w:szCs w:val="28"/>
        </w:rPr>
        <w:t xml:space="preserve"> к </w:t>
      </w:r>
      <w:r w:rsidR="006307A8">
        <w:rPr>
          <w:color w:val="000000"/>
          <w:szCs w:val="28"/>
        </w:rPr>
        <w:t>настоя</w:t>
      </w:r>
      <w:r w:rsidR="004E23C0">
        <w:rPr>
          <w:color w:val="000000"/>
          <w:szCs w:val="28"/>
        </w:rPr>
        <w:t>щему Протоколу</w:t>
      </w:r>
      <w:r w:rsidRPr="00E44DB3">
        <w:rPr>
          <w:color w:val="000000"/>
          <w:szCs w:val="28"/>
        </w:rPr>
        <w:t>)</w:t>
      </w:r>
      <w:r w:rsidR="006307A8">
        <w:rPr>
          <w:color w:val="000000"/>
          <w:szCs w:val="28"/>
        </w:rPr>
        <w:t>.</w:t>
      </w:r>
    </w:p>
    <w:p w:rsidR="00830BA2" w:rsidRPr="004E23C0" w:rsidRDefault="00830BA2" w:rsidP="00E44DB3">
      <w:pPr>
        <w:autoSpaceDE w:val="0"/>
        <w:autoSpaceDN w:val="0"/>
        <w:adjustRightInd w:val="0"/>
        <w:ind w:firstLine="709"/>
        <w:jc w:val="both"/>
        <w:rPr>
          <w:szCs w:val="28"/>
        </w:rPr>
      </w:pPr>
      <w:r w:rsidRPr="004E23C0">
        <w:rPr>
          <w:b/>
          <w:szCs w:val="28"/>
        </w:rPr>
        <w:lastRenderedPageBreak/>
        <w:t xml:space="preserve">Срок поставки Топлива: </w:t>
      </w:r>
      <w:r w:rsidRPr="004E23C0">
        <w:rPr>
          <w:szCs w:val="28"/>
        </w:rPr>
        <w:t xml:space="preserve">поставка Топлива Заказчику,  производится в соответствии с Заявкой Заказчика, в любое время суток, после поступления оплаты Поставщику. Общий срок поставки Топлива: с даты подписания договора по 31 декабря 2014 г. </w:t>
      </w:r>
    </w:p>
    <w:p w:rsidR="00830BA2" w:rsidRPr="004E23C0" w:rsidRDefault="00830BA2" w:rsidP="00E44DB3">
      <w:pPr>
        <w:autoSpaceDE w:val="0"/>
        <w:autoSpaceDN w:val="0"/>
        <w:adjustRightInd w:val="0"/>
        <w:ind w:firstLine="709"/>
        <w:jc w:val="both"/>
        <w:rPr>
          <w:szCs w:val="28"/>
        </w:rPr>
      </w:pPr>
      <w:r w:rsidRPr="00E44DB3">
        <w:rPr>
          <w:b/>
          <w:bCs/>
          <w:color w:val="000000"/>
          <w:szCs w:val="28"/>
        </w:rPr>
        <w:t xml:space="preserve">Срок действия договора: </w:t>
      </w:r>
      <w:r w:rsidRPr="00E44DB3">
        <w:rPr>
          <w:color w:val="000000"/>
          <w:szCs w:val="28"/>
        </w:rPr>
        <w:t>с даты подписания договора до 31.12.2014, а в части взаиморасчетов до полного их исполнения.</w:t>
      </w:r>
      <w:r w:rsidRPr="004E23C0">
        <w:rPr>
          <w:szCs w:val="28"/>
        </w:rPr>
        <w:t xml:space="preserve"> </w:t>
      </w:r>
    </w:p>
    <w:p w:rsidR="00830BA2" w:rsidRDefault="00830BA2" w:rsidP="00E44DB3">
      <w:pPr>
        <w:autoSpaceDE w:val="0"/>
        <w:autoSpaceDN w:val="0"/>
        <w:adjustRightInd w:val="0"/>
        <w:ind w:firstLine="708"/>
        <w:jc w:val="both"/>
        <w:rPr>
          <w:szCs w:val="28"/>
        </w:rPr>
      </w:pPr>
      <w:r w:rsidRPr="004E23C0">
        <w:rPr>
          <w:b/>
          <w:szCs w:val="28"/>
        </w:rPr>
        <w:t>Гарантия:</w:t>
      </w:r>
      <w:r w:rsidRPr="004E23C0">
        <w:rPr>
          <w:szCs w:val="28"/>
        </w:rPr>
        <w:t xml:space="preserve"> 12 месяцев со дня отгрузки Топлива Заказчику. </w:t>
      </w:r>
    </w:p>
    <w:p w:rsidR="004E23C0" w:rsidRPr="004E23C0" w:rsidRDefault="004E23C0" w:rsidP="00E44DB3">
      <w:pPr>
        <w:ind w:firstLine="708"/>
        <w:jc w:val="both"/>
      </w:pPr>
      <w:r>
        <w:t xml:space="preserve">4. </w:t>
      </w:r>
      <w:r w:rsidRPr="00C92703">
        <w:t>Поручить</w:t>
      </w:r>
      <w:r w:rsidR="006307A8">
        <w:t xml:space="preserve"> и.о.</w:t>
      </w:r>
      <w:r>
        <w:t xml:space="preserve"> директор</w:t>
      </w:r>
      <w:r w:rsidR="006307A8">
        <w:t>а</w:t>
      </w:r>
      <w:r>
        <w:t xml:space="preserve"> филиала ОАО «ТрансКонтейнер» на  Забайкальской</w:t>
      </w:r>
      <w:r w:rsidRPr="004642AB">
        <w:t xml:space="preserve"> железной дороге</w:t>
      </w:r>
      <w:r>
        <w:t xml:space="preserve"> </w:t>
      </w:r>
      <w:proofErr w:type="spellStart"/>
      <w:r w:rsidR="003A23A4">
        <w:t>Банщикову</w:t>
      </w:r>
      <w:proofErr w:type="spellEnd"/>
      <w:r w:rsidR="003A23A4">
        <w:t xml:space="preserve"> А.В.</w:t>
      </w:r>
      <w:r>
        <w:t>:</w:t>
      </w:r>
    </w:p>
    <w:p w:rsidR="004E23C0" w:rsidRPr="00A975BE" w:rsidRDefault="004E23C0" w:rsidP="004E23C0">
      <w:pPr>
        <w:ind w:firstLine="708"/>
        <w:jc w:val="both"/>
        <w:rPr>
          <w:szCs w:val="28"/>
        </w:rPr>
      </w:pPr>
      <w:r>
        <w:rPr>
          <w:color w:val="000000"/>
          <w:szCs w:val="28"/>
        </w:rPr>
        <w:t>4.1</w:t>
      </w:r>
      <w:r w:rsidRPr="004E23C0">
        <w:rPr>
          <w:color w:val="000000"/>
          <w:szCs w:val="28"/>
        </w:rPr>
        <w:t>.</w:t>
      </w:r>
      <w:r>
        <w:rPr>
          <w:color w:val="000000"/>
          <w:szCs w:val="28"/>
        </w:rPr>
        <w:t xml:space="preserve"> </w:t>
      </w:r>
      <w:r w:rsidRPr="00A975BE">
        <w:rPr>
          <w:szCs w:val="28"/>
        </w:rPr>
        <w:t>направить уведомление</w:t>
      </w:r>
      <w:r w:rsidRPr="00216964">
        <w:t xml:space="preserve"> </w:t>
      </w:r>
      <w:r w:rsidR="003A23A4" w:rsidRPr="00827400">
        <w:rPr>
          <w:rFonts w:eastAsia="Calibri"/>
          <w:color w:val="000000"/>
          <w:szCs w:val="28"/>
        </w:rPr>
        <w:t>ОАО «Амурнефтепродукт»</w:t>
      </w:r>
      <w:r>
        <w:rPr>
          <w:color w:val="000000"/>
        </w:rPr>
        <w:t xml:space="preserve"> </w:t>
      </w:r>
      <w:r w:rsidRPr="00A975BE">
        <w:rPr>
          <w:szCs w:val="28"/>
        </w:rPr>
        <w:t>о принятом Конкурсной комиссией ОАО «ТрансКонтейнер» решении с приглашением заключить договор;</w:t>
      </w:r>
    </w:p>
    <w:p w:rsidR="004E23C0" w:rsidRDefault="004E23C0" w:rsidP="004E23C0">
      <w:pPr>
        <w:ind w:firstLine="708"/>
        <w:jc w:val="both"/>
      </w:pPr>
      <w:r>
        <w:rPr>
          <w:szCs w:val="28"/>
        </w:rPr>
        <w:t>4</w:t>
      </w:r>
      <w:r w:rsidRPr="00A975BE">
        <w:rPr>
          <w:szCs w:val="28"/>
        </w:rPr>
        <w:t xml:space="preserve">.2 обеспечить установленным порядком заключение договора с  </w:t>
      </w:r>
      <w:r w:rsidRPr="00A975BE">
        <w:rPr>
          <w:szCs w:val="28"/>
        </w:rPr>
        <w:br/>
      </w:r>
      <w:r w:rsidR="003A23A4" w:rsidRPr="00827400">
        <w:rPr>
          <w:rFonts w:eastAsia="Calibri"/>
          <w:color w:val="000000"/>
          <w:szCs w:val="28"/>
        </w:rPr>
        <w:t>ОАО «Амурнефтепродукт»</w:t>
      </w:r>
      <w:r>
        <w:rPr>
          <w:color w:val="000000"/>
        </w:rPr>
        <w:t>.</w:t>
      </w:r>
    </w:p>
    <w:p w:rsidR="004E23C0" w:rsidRPr="00E44DB3" w:rsidRDefault="004E23C0" w:rsidP="00E44DB3">
      <w:pPr>
        <w:autoSpaceDE w:val="0"/>
        <w:autoSpaceDN w:val="0"/>
        <w:adjustRightInd w:val="0"/>
        <w:ind w:firstLine="708"/>
        <w:jc w:val="both"/>
        <w:rPr>
          <w:color w:val="000000"/>
          <w:szCs w:val="28"/>
        </w:rPr>
      </w:pPr>
    </w:p>
    <w:p w:rsidR="00115814" w:rsidRPr="004A3A79" w:rsidRDefault="004D1851" w:rsidP="00115814">
      <w:pPr>
        <w:ind w:firstLine="708"/>
        <w:jc w:val="both"/>
        <w:rPr>
          <w:szCs w:val="28"/>
          <w:lang w:val="en-US"/>
        </w:rPr>
      </w:pPr>
      <w:r>
        <w:rPr>
          <w:szCs w:val="28"/>
          <w:lang w:val="en-US"/>
        </w:rPr>
        <w:t>….</w:t>
      </w: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A3A79">
            <w:pPr>
              <w:pStyle w:val="a6"/>
              <w:tabs>
                <w:tab w:val="left" w:pos="0"/>
              </w:tabs>
            </w:pPr>
            <w:r w:rsidRPr="00CF45A9">
              <w:rPr>
                <w:i w:val="0"/>
              </w:rPr>
              <w:t>«</w:t>
            </w:r>
            <w:r w:rsidR="004A3A79" w:rsidRPr="005A5A30">
              <w:rPr>
                <w:i w:val="0"/>
              </w:rPr>
              <w:t>07</w:t>
            </w:r>
            <w:r w:rsidRPr="00CF45A9">
              <w:rPr>
                <w:i w:val="0"/>
              </w:rPr>
              <w:t xml:space="preserve">» </w:t>
            </w:r>
            <w:r w:rsidR="00DF7445">
              <w:rPr>
                <w:i w:val="0"/>
              </w:rPr>
              <w:t>апреля</w:t>
            </w:r>
            <w:bookmarkStart w:id="0" w:name="_GoBack"/>
            <w:bookmarkEnd w:id="0"/>
            <w:r w:rsidR="00DF74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E44DB3" w:rsidRPr="00D02697" w:rsidRDefault="004E23C0" w:rsidP="00DF7445">
      <w:pPr>
        <w:jc w:val="right"/>
        <w:rPr>
          <w:sz w:val="22"/>
          <w:szCs w:val="22"/>
        </w:rPr>
      </w:pPr>
      <w:r>
        <w:rPr>
          <w:szCs w:val="28"/>
        </w:rPr>
        <w:br w:type="page"/>
      </w:r>
      <w:r w:rsidR="00E44DB3">
        <w:rPr>
          <w:sz w:val="22"/>
          <w:szCs w:val="22"/>
        </w:rPr>
        <w:lastRenderedPageBreak/>
        <w:t>Прилож</w:t>
      </w:r>
      <w:r w:rsidR="00E44DB3" w:rsidRPr="00D02697">
        <w:rPr>
          <w:sz w:val="22"/>
          <w:szCs w:val="22"/>
        </w:rPr>
        <w:t xml:space="preserve">ение № </w:t>
      </w:r>
      <w:r w:rsidR="00E44DB3">
        <w:rPr>
          <w:sz w:val="22"/>
          <w:szCs w:val="22"/>
        </w:rPr>
        <w:t>1</w:t>
      </w:r>
    </w:p>
    <w:p w:rsidR="00E44DB3" w:rsidRPr="00D02697" w:rsidRDefault="00E44DB3" w:rsidP="00E44DB3">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8</w:t>
      </w:r>
      <w:r w:rsidRPr="00D02697">
        <w:rPr>
          <w:sz w:val="22"/>
          <w:szCs w:val="22"/>
        </w:rPr>
        <w:t>/КК</w:t>
      </w:r>
    </w:p>
    <w:p w:rsidR="00E44DB3" w:rsidRPr="00D02697" w:rsidRDefault="00E44DB3" w:rsidP="00E44DB3">
      <w:pPr>
        <w:jc w:val="right"/>
        <w:outlineLvl w:val="0"/>
        <w:rPr>
          <w:bCs/>
          <w:sz w:val="22"/>
          <w:szCs w:val="22"/>
        </w:rPr>
      </w:pPr>
      <w:r w:rsidRPr="00D02697">
        <w:rPr>
          <w:bCs/>
          <w:sz w:val="22"/>
          <w:szCs w:val="22"/>
        </w:rPr>
        <w:t>заседания Конкурсной комиссии</w:t>
      </w:r>
    </w:p>
    <w:p w:rsidR="00E44DB3" w:rsidRPr="00D02697" w:rsidRDefault="00E44DB3" w:rsidP="00E44DB3">
      <w:pPr>
        <w:jc w:val="right"/>
        <w:rPr>
          <w:sz w:val="22"/>
          <w:szCs w:val="22"/>
        </w:rPr>
      </w:pPr>
      <w:r w:rsidRPr="00D02697">
        <w:rPr>
          <w:sz w:val="22"/>
          <w:szCs w:val="22"/>
        </w:rPr>
        <w:t>открытого акционерного общества</w:t>
      </w:r>
    </w:p>
    <w:p w:rsidR="00E44DB3" w:rsidRPr="00D02697" w:rsidRDefault="00E44DB3" w:rsidP="00E44DB3">
      <w:pPr>
        <w:jc w:val="right"/>
        <w:rPr>
          <w:sz w:val="22"/>
          <w:szCs w:val="22"/>
        </w:rPr>
      </w:pPr>
      <w:r w:rsidRPr="00D02697">
        <w:rPr>
          <w:sz w:val="22"/>
          <w:szCs w:val="22"/>
        </w:rPr>
        <w:t>«Центр по перевозке грузов в контейнерах «ТрансКонтейнер»,</w:t>
      </w:r>
    </w:p>
    <w:p w:rsidR="00E44DB3" w:rsidRDefault="00E44DB3" w:rsidP="00E44DB3">
      <w:pPr>
        <w:jc w:val="right"/>
        <w:rPr>
          <w:sz w:val="22"/>
          <w:szCs w:val="22"/>
        </w:rPr>
      </w:pPr>
      <w:r w:rsidRPr="00D02697">
        <w:rPr>
          <w:sz w:val="22"/>
          <w:szCs w:val="22"/>
        </w:rPr>
        <w:t xml:space="preserve">состоявшегося </w:t>
      </w:r>
      <w:r>
        <w:rPr>
          <w:sz w:val="22"/>
          <w:szCs w:val="22"/>
        </w:rPr>
        <w:t xml:space="preserve"> 7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E44DB3" w:rsidRDefault="00E44DB3" w:rsidP="00E44DB3">
      <w:pPr>
        <w:jc w:val="right"/>
        <w:rPr>
          <w:sz w:val="22"/>
          <w:szCs w:val="22"/>
        </w:rPr>
      </w:pPr>
    </w:p>
    <w:p w:rsidR="00E44DB3" w:rsidRDefault="00E44DB3" w:rsidP="00A45385">
      <w:pPr>
        <w:jc w:val="center"/>
        <w:rPr>
          <w:sz w:val="22"/>
          <w:szCs w:val="22"/>
        </w:rPr>
      </w:pPr>
    </w:p>
    <w:p w:rsidR="00E44DB3" w:rsidRDefault="00E44DB3" w:rsidP="00E44DB3">
      <w:pPr>
        <w:jc w:val="center"/>
        <w:rPr>
          <w:rFonts w:eastAsia="Calibri"/>
          <w:color w:val="000000"/>
          <w:szCs w:val="28"/>
        </w:rPr>
      </w:pPr>
      <w:r w:rsidRPr="00E44DB3">
        <w:rPr>
          <w:color w:val="000000"/>
          <w:szCs w:val="28"/>
        </w:rPr>
        <w:t>Автозаправочные станции</w:t>
      </w:r>
      <w:r>
        <w:rPr>
          <w:color w:val="000000"/>
          <w:szCs w:val="28"/>
        </w:rPr>
        <w:t xml:space="preserve"> </w:t>
      </w:r>
      <w:r w:rsidRPr="00E44DB3">
        <w:rPr>
          <w:rFonts w:eastAsia="Calibri"/>
          <w:color w:val="000000"/>
          <w:szCs w:val="28"/>
        </w:rPr>
        <w:t>ОАО «Амурнефтепродукт»</w:t>
      </w:r>
    </w:p>
    <w:p w:rsidR="00A45385" w:rsidRDefault="00A45385" w:rsidP="00E44DB3">
      <w:pPr>
        <w:jc w:val="center"/>
        <w:rPr>
          <w:rFonts w:eastAsia="Calibri"/>
          <w:color w:val="000000"/>
          <w:szCs w:val="28"/>
        </w:rPr>
      </w:pPr>
    </w:p>
    <w:tbl>
      <w:tblPr>
        <w:tblW w:w="7444" w:type="dxa"/>
        <w:jc w:val="center"/>
        <w:tblInd w:w="108" w:type="dxa"/>
        <w:tblLook w:val="04A0"/>
      </w:tblPr>
      <w:tblGrid>
        <w:gridCol w:w="4821"/>
        <w:gridCol w:w="236"/>
        <w:gridCol w:w="2151"/>
        <w:gridCol w:w="236"/>
      </w:tblGrid>
      <w:tr w:rsidR="00A45385" w:rsidRPr="00A45385" w:rsidTr="00A45385">
        <w:trPr>
          <w:gridAfter w:val="3"/>
          <w:wAfter w:w="2623" w:type="dxa"/>
          <w:trHeight w:val="284"/>
          <w:jc w:val="center"/>
        </w:trPr>
        <w:tc>
          <w:tcPr>
            <w:tcW w:w="4821" w:type="dxa"/>
            <w:tcBorders>
              <w:top w:val="nil"/>
              <w:left w:val="nil"/>
              <w:right w:val="nil"/>
            </w:tcBorders>
            <w:shd w:val="clear" w:color="auto" w:fill="auto"/>
            <w:noWrap/>
          </w:tcPr>
          <w:p w:rsidR="00A45385" w:rsidRPr="00A45385" w:rsidRDefault="00A45385" w:rsidP="001D5652">
            <w:pPr>
              <w:rPr>
                <w:sz w:val="24"/>
                <w:szCs w:val="24"/>
              </w:rPr>
            </w:pPr>
            <w:r w:rsidRPr="00A45385">
              <w:rPr>
                <w:b/>
                <w:bCs/>
                <w:sz w:val="24"/>
                <w:szCs w:val="24"/>
                <w:u w:val="single"/>
              </w:rPr>
              <w:t>г. Благовещенск:</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p>
          <w:p w:rsidR="00A45385" w:rsidRPr="00A45385" w:rsidRDefault="00A45385" w:rsidP="001D5652">
            <w:pPr>
              <w:rPr>
                <w:sz w:val="24"/>
                <w:szCs w:val="24"/>
              </w:rPr>
            </w:pPr>
            <w:r w:rsidRPr="00A45385">
              <w:rPr>
                <w:sz w:val="24"/>
                <w:szCs w:val="24"/>
              </w:rPr>
              <w:t xml:space="preserve">АЗС № 1 - Кольцевая (АИ-98, ДТ </w:t>
            </w:r>
            <w:proofErr w:type="spellStart"/>
            <w:r w:rsidRPr="00A45385">
              <w:rPr>
                <w:sz w:val="24"/>
                <w:szCs w:val="24"/>
              </w:rPr>
              <w:t>GreenEco</w:t>
            </w:r>
            <w:proofErr w:type="spellEnd"/>
            <w:r w:rsidRPr="00A45385">
              <w:rPr>
                <w:sz w:val="24"/>
                <w:szCs w:val="24"/>
              </w:rPr>
              <w:t>)</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АЗС № 3 - ул. Мухина – ул. Октябрьская (АИ-98)</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АЗС № 4 - ул. Лазо – ул. Октябрьская (АИ-98)</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6 - Новотроицкое ш. - ул. Кольцевая (АИ-98, ДТ </w:t>
            </w:r>
            <w:proofErr w:type="spellStart"/>
            <w:r w:rsidRPr="00A45385">
              <w:rPr>
                <w:sz w:val="24"/>
                <w:szCs w:val="24"/>
              </w:rPr>
              <w:t>GreenEco</w:t>
            </w:r>
            <w:proofErr w:type="spellEnd"/>
            <w:r w:rsidRPr="00A45385">
              <w:rPr>
                <w:sz w:val="24"/>
                <w:szCs w:val="24"/>
              </w:rPr>
              <w:t>)</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9 - ул. 1-й км. Новотроицкого шоссе (ДТ </w:t>
            </w:r>
            <w:proofErr w:type="spellStart"/>
            <w:r w:rsidRPr="00A45385">
              <w:rPr>
                <w:sz w:val="24"/>
                <w:szCs w:val="24"/>
              </w:rPr>
              <w:t>GreenEco</w:t>
            </w:r>
            <w:proofErr w:type="spellEnd"/>
            <w:r w:rsidRPr="00A45385">
              <w:rPr>
                <w:sz w:val="24"/>
                <w:szCs w:val="24"/>
              </w:rPr>
              <w:t>)</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31 - ул. Калинина – </w:t>
            </w:r>
            <w:proofErr w:type="gramStart"/>
            <w:r w:rsidRPr="00A45385">
              <w:rPr>
                <w:sz w:val="24"/>
                <w:szCs w:val="24"/>
              </w:rPr>
              <w:t>Заводская</w:t>
            </w:r>
            <w:proofErr w:type="gramEnd"/>
            <w:r w:rsidRPr="00A45385">
              <w:rPr>
                <w:sz w:val="24"/>
                <w:szCs w:val="24"/>
              </w:rPr>
              <w:t xml:space="preserve"> (АИ-98)</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АЗС № 50 - ул. Мухина (Западный промышленно-селитебный планировочный район г. Благовещенска) (АИ-98)</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АЗС № 64 - ул. Кольцевая – Пионерская (АИ-98)</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65 - ул. Мухина - </w:t>
            </w:r>
            <w:proofErr w:type="spellStart"/>
            <w:r w:rsidRPr="00A45385">
              <w:rPr>
                <w:sz w:val="24"/>
                <w:szCs w:val="24"/>
              </w:rPr>
              <w:t>Игнатьевское</w:t>
            </w:r>
            <w:proofErr w:type="spellEnd"/>
            <w:r w:rsidRPr="00A45385">
              <w:rPr>
                <w:sz w:val="24"/>
                <w:szCs w:val="24"/>
              </w:rPr>
              <w:t xml:space="preserve"> шоссе</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66 - ул. </w:t>
            </w:r>
            <w:proofErr w:type="gramStart"/>
            <w:r w:rsidRPr="00A45385">
              <w:rPr>
                <w:sz w:val="24"/>
                <w:szCs w:val="24"/>
              </w:rPr>
              <w:t>Театральная</w:t>
            </w:r>
            <w:proofErr w:type="gramEnd"/>
            <w:r w:rsidRPr="00A45385">
              <w:rPr>
                <w:sz w:val="24"/>
                <w:szCs w:val="24"/>
              </w:rPr>
              <w:t xml:space="preserve"> – ул. Строителей  (АИ-98)</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67 - ул. </w:t>
            </w:r>
            <w:proofErr w:type="gramStart"/>
            <w:r w:rsidRPr="00A45385">
              <w:rPr>
                <w:sz w:val="24"/>
                <w:szCs w:val="24"/>
              </w:rPr>
              <w:t>Красноармейская-Батарейная</w:t>
            </w:r>
            <w:proofErr w:type="gramEnd"/>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68 - ул. Чайковского, Судоверфь (ДТ </w:t>
            </w:r>
            <w:proofErr w:type="spellStart"/>
            <w:r w:rsidRPr="00A45385">
              <w:rPr>
                <w:sz w:val="24"/>
                <w:szCs w:val="24"/>
              </w:rPr>
              <w:t>GreenEco</w:t>
            </w:r>
            <w:proofErr w:type="spellEnd"/>
            <w:r w:rsidRPr="00A45385">
              <w:rPr>
                <w:sz w:val="24"/>
                <w:szCs w:val="24"/>
              </w:rPr>
              <w:t>)</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69 - ул. Василенко - </w:t>
            </w:r>
            <w:proofErr w:type="spellStart"/>
            <w:r w:rsidRPr="00A45385">
              <w:rPr>
                <w:sz w:val="24"/>
                <w:szCs w:val="24"/>
              </w:rPr>
              <w:t>Игнатьевское</w:t>
            </w:r>
            <w:proofErr w:type="spellEnd"/>
            <w:r w:rsidRPr="00A45385">
              <w:rPr>
                <w:sz w:val="24"/>
                <w:szCs w:val="24"/>
              </w:rPr>
              <w:t xml:space="preserve"> шоссе (ДТ </w:t>
            </w:r>
            <w:proofErr w:type="spellStart"/>
            <w:r w:rsidRPr="00A45385">
              <w:rPr>
                <w:sz w:val="24"/>
                <w:szCs w:val="24"/>
              </w:rPr>
              <w:t>GreenEco</w:t>
            </w:r>
            <w:proofErr w:type="spellEnd"/>
            <w:r w:rsidRPr="00A45385">
              <w:rPr>
                <w:sz w:val="24"/>
                <w:szCs w:val="24"/>
              </w:rPr>
              <w:t>)</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 xml:space="preserve">АЗС № 75 - ул. Островского - Октябрьская (ДТ </w:t>
            </w:r>
            <w:proofErr w:type="spellStart"/>
            <w:r w:rsidRPr="00A45385">
              <w:rPr>
                <w:sz w:val="24"/>
                <w:szCs w:val="24"/>
              </w:rPr>
              <w:t>GreenEco</w:t>
            </w:r>
            <w:proofErr w:type="spellEnd"/>
            <w:r w:rsidRPr="00A45385">
              <w:rPr>
                <w:sz w:val="24"/>
                <w:szCs w:val="24"/>
              </w:rPr>
              <w:t>)</w:t>
            </w:r>
          </w:p>
        </w:tc>
      </w:tr>
      <w:tr w:rsidR="00A45385" w:rsidRPr="00A45385" w:rsidTr="00A45385">
        <w:trPr>
          <w:gridAfter w:val="1"/>
          <w:wAfter w:w="236" w:type="dxa"/>
          <w:trHeight w:val="284"/>
          <w:jc w:val="center"/>
        </w:trPr>
        <w:tc>
          <w:tcPr>
            <w:tcW w:w="7208" w:type="dxa"/>
            <w:gridSpan w:val="3"/>
            <w:shd w:val="clear" w:color="auto" w:fill="auto"/>
            <w:noWrap/>
          </w:tcPr>
          <w:p w:rsidR="00A45385" w:rsidRPr="00A45385" w:rsidRDefault="00A45385" w:rsidP="001D5652">
            <w:pPr>
              <w:rPr>
                <w:sz w:val="24"/>
                <w:szCs w:val="24"/>
              </w:rPr>
            </w:pPr>
            <w:r w:rsidRPr="00A45385">
              <w:rPr>
                <w:sz w:val="24"/>
                <w:szCs w:val="24"/>
              </w:rPr>
              <w:t>АЗС № 76 - Кольцевая развязка (2-й микрорайон)</w:t>
            </w:r>
          </w:p>
        </w:tc>
      </w:tr>
      <w:tr w:rsidR="00E44DB3" w:rsidRPr="00A45385" w:rsidTr="00A45385">
        <w:trPr>
          <w:trHeight w:val="284"/>
          <w:jc w:val="center"/>
        </w:trPr>
        <w:tc>
          <w:tcPr>
            <w:tcW w:w="7208" w:type="dxa"/>
            <w:gridSpan w:val="3"/>
            <w:tcBorders>
              <w:left w:val="nil"/>
              <w:bottom w:val="nil"/>
              <w:right w:val="nil"/>
            </w:tcBorders>
            <w:shd w:val="clear" w:color="auto" w:fill="auto"/>
            <w:noWrap/>
          </w:tcPr>
          <w:p w:rsidR="00A45385" w:rsidRPr="00A45385" w:rsidRDefault="00A45385" w:rsidP="001D5652">
            <w:pPr>
              <w:rPr>
                <w:b/>
                <w:bCs/>
                <w:sz w:val="22"/>
                <w:szCs w:val="22"/>
                <w:u w:val="single"/>
              </w:rPr>
            </w:pPr>
          </w:p>
          <w:p w:rsidR="00E44DB3" w:rsidRPr="00A45385" w:rsidRDefault="00E44DB3" w:rsidP="001D5652">
            <w:pPr>
              <w:rPr>
                <w:b/>
                <w:bCs/>
                <w:sz w:val="22"/>
                <w:szCs w:val="22"/>
                <w:u w:val="single"/>
              </w:rPr>
            </w:pPr>
            <w:r w:rsidRPr="00A45385">
              <w:rPr>
                <w:b/>
                <w:bCs/>
                <w:sz w:val="22"/>
                <w:szCs w:val="22"/>
                <w:u w:val="single"/>
              </w:rPr>
              <w:t>Благовещенский район:</w:t>
            </w:r>
          </w:p>
        </w:tc>
        <w:tc>
          <w:tcPr>
            <w:tcW w:w="236" w:type="dxa"/>
            <w:tcBorders>
              <w:top w:val="single" w:sz="4" w:space="0" w:color="auto"/>
              <w:left w:val="nil"/>
              <w:bottom w:val="nil"/>
              <w:right w:val="nil"/>
            </w:tcBorders>
            <w:shd w:val="clear" w:color="auto" w:fill="auto"/>
            <w:noWrap/>
          </w:tcPr>
          <w:p w:rsidR="00E44DB3" w:rsidRPr="00A45385" w:rsidRDefault="00E44DB3" w:rsidP="001D5652">
            <w:pPr>
              <w:rPr>
                <w:b/>
                <w:bCs/>
                <w:sz w:val="22"/>
                <w:szCs w:val="22"/>
              </w:rPr>
            </w:pPr>
          </w:p>
        </w:tc>
      </w:tr>
      <w:tr w:rsidR="00E44DB3" w:rsidRPr="00A45385" w:rsidTr="00A45385">
        <w:trPr>
          <w:gridAfter w:val="2"/>
          <w:wAfter w:w="2387" w:type="dxa"/>
          <w:trHeight w:val="284"/>
          <w:jc w:val="center"/>
        </w:trPr>
        <w:tc>
          <w:tcPr>
            <w:tcW w:w="4821" w:type="dxa"/>
            <w:tcBorders>
              <w:top w:val="nil"/>
              <w:left w:val="nil"/>
              <w:bottom w:val="nil"/>
              <w:right w:val="nil"/>
            </w:tcBorders>
            <w:shd w:val="clear" w:color="auto" w:fill="auto"/>
            <w:noWrap/>
          </w:tcPr>
          <w:p w:rsidR="00A45385" w:rsidRPr="00A45385" w:rsidRDefault="00A45385" w:rsidP="001D5652">
            <w:pPr>
              <w:rPr>
                <w:sz w:val="24"/>
                <w:szCs w:val="24"/>
              </w:rPr>
            </w:pPr>
          </w:p>
          <w:p w:rsidR="00E44DB3" w:rsidRPr="00A45385" w:rsidRDefault="00E44DB3" w:rsidP="001D5652">
            <w:pPr>
              <w:rPr>
                <w:sz w:val="24"/>
                <w:szCs w:val="24"/>
              </w:rPr>
            </w:pPr>
            <w:r w:rsidRPr="00A45385">
              <w:rPr>
                <w:sz w:val="24"/>
                <w:szCs w:val="24"/>
              </w:rPr>
              <w:t>АЗС № 17 - п. Чигири</w:t>
            </w:r>
          </w:p>
        </w:tc>
        <w:tc>
          <w:tcPr>
            <w:tcW w:w="236" w:type="dxa"/>
            <w:tcBorders>
              <w:top w:val="nil"/>
              <w:left w:val="nil"/>
              <w:bottom w:val="nil"/>
              <w:right w:val="nil"/>
            </w:tcBorders>
            <w:shd w:val="clear" w:color="auto" w:fill="auto"/>
            <w:noWrap/>
          </w:tcPr>
          <w:p w:rsidR="00E44DB3" w:rsidRPr="00A45385" w:rsidRDefault="00E44DB3" w:rsidP="001D5652">
            <w:pPr>
              <w:rPr>
                <w:sz w:val="20"/>
              </w:rPr>
            </w:pPr>
          </w:p>
        </w:tc>
      </w:tr>
      <w:tr w:rsidR="00E44DB3" w:rsidRPr="00A45385" w:rsidTr="00A45385">
        <w:trPr>
          <w:gridAfter w:val="2"/>
          <w:wAfter w:w="2387" w:type="dxa"/>
          <w:trHeight w:val="284"/>
          <w:jc w:val="center"/>
        </w:trPr>
        <w:tc>
          <w:tcPr>
            <w:tcW w:w="4821" w:type="dxa"/>
            <w:tcBorders>
              <w:top w:val="nil"/>
              <w:left w:val="nil"/>
              <w:bottom w:val="nil"/>
              <w:right w:val="nil"/>
            </w:tcBorders>
            <w:shd w:val="clear" w:color="auto" w:fill="auto"/>
            <w:noWrap/>
          </w:tcPr>
          <w:p w:rsidR="00E44DB3" w:rsidRPr="00A45385" w:rsidRDefault="00E44DB3" w:rsidP="001D5652">
            <w:pPr>
              <w:rPr>
                <w:sz w:val="24"/>
                <w:szCs w:val="24"/>
              </w:rPr>
            </w:pPr>
            <w:r w:rsidRPr="00A45385">
              <w:rPr>
                <w:sz w:val="24"/>
                <w:szCs w:val="24"/>
              </w:rPr>
              <w:t>АЗС № 61 - 11 км (</w:t>
            </w:r>
            <w:proofErr w:type="spellStart"/>
            <w:r w:rsidRPr="00A45385">
              <w:rPr>
                <w:sz w:val="24"/>
                <w:szCs w:val="24"/>
              </w:rPr>
              <w:t>Волковский</w:t>
            </w:r>
            <w:proofErr w:type="spellEnd"/>
            <w:r w:rsidRPr="00A45385">
              <w:rPr>
                <w:sz w:val="24"/>
                <w:szCs w:val="24"/>
              </w:rPr>
              <w:t xml:space="preserve"> перекресток)</w:t>
            </w:r>
          </w:p>
        </w:tc>
        <w:tc>
          <w:tcPr>
            <w:tcW w:w="236" w:type="dxa"/>
            <w:tcBorders>
              <w:top w:val="nil"/>
              <w:left w:val="nil"/>
              <w:bottom w:val="nil"/>
              <w:right w:val="nil"/>
            </w:tcBorders>
            <w:shd w:val="clear" w:color="auto" w:fill="auto"/>
            <w:noWrap/>
          </w:tcPr>
          <w:p w:rsidR="00E44DB3" w:rsidRPr="00A45385" w:rsidRDefault="00E44DB3" w:rsidP="001D5652">
            <w:pPr>
              <w:rPr>
                <w:sz w:val="20"/>
              </w:rPr>
            </w:pPr>
          </w:p>
        </w:tc>
      </w:tr>
    </w:tbl>
    <w:p w:rsidR="00E44DB3" w:rsidRDefault="00E44DB3" w:rsidP="004E23C0">
      <w:pPr>
        <w:jc w:val="right"/>
        <w:rPr>
          <w:sz w:val="22"/>
          <w:szCs w:val="22"/>
        </w:rPr>
      </w:pPr>
    </w:p>
    <w:p w:rsidR="00161355" w:rsidRPr="005A5A30" w:rsidRDefault="00161355" w:rsidP="00B75705">
      <w:pPr>
        <w:rPr>
          <w:sz w:val="22"/>
          <w:szCs w:val="22"/>
        </w:rPr>
      </w:pPr>
    </w:p>
    <w:sectPr w:rsidR="00161355" w:rsidRPr="005A5A30"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D4" w:rsidRDefault="009C27D4" w:rsidP="00B470FA">
      <w:r>
        <w:separator/>
      </w:r>
    </w:p>
  </w:endnote>
  <w:endnote w:type="continuationSeparator" w:id="1">
    <w:p w:rsidR="009C27D4" w:rsidRDefault="009C27D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D4" w:rsidRDefault="009C27D4" w:rsidP="00B470FA">
      <w:r>
        <w:separator/>
      </w:r>
    </w:p>
  </w:footnote>
  <w:footnote w:type="continuationSeparator" w:id="1">
    <w:p w:rsidR="009C27D4" w:rsidRDefault="009C27D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1D5652" w:rsidRPr="00636E16" w:rsidRDefault="009229B1" w:rsidP="00636E16">
        <w:pPr>
          <w:pStyle w:val="aff"/>
          <w:jc w:val="center"/>
          <w:rPr>
            <w:sz w:val="24"/>
            <w:szCs w:val="24"/>
          </w:rPr>
        </w:pPr>
        <w:r w:rsidRPr="00636E16">
          <w:rPr>
            <w:sz w:val="24"/>
            <w:szCs w:val="24"/>
          </w:rPr>
          <w:fldChar w:fldCharType="begin"/>
        </w:r>
        <w:r w:rsidR="001D5652" w:rsidRPr="00636E16">
          <w:rPr>
            <w:sz w:val="24"/>
            <w:szCs w:val="24"/>
          </w:rPr>
          <w:instrText>PAGE   \* MERGEFORMAT</w:instrText>
        </w:r>
        <w:r w:rsidRPr="00636E16">
          <w:rPr>
            <w:sz w:val="24"/>
            <w:szCs w:val="24"/>
          </w:rPr>
          <w:fldChar w:fldCharType="separate"/>
        </w:r>
        <w:r w:rsidR="005A5A3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52266C"/>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D027B54"/>
    <w:multiLevelType w:val="hybridMultilevel"/>
    <w:tmpl w:val="9DA677F2"/>
    <w:lvl w:ilvl="0" w:tplc="830A9CDE">
      <w:start w:val="12"/>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8004D5"/>
    <w:multiLevelType w:val="hybridMultilevel"/>
    <w:tmpl w:val="C29EB55C"/>
    <w:lvl w:ilvl="0" w:tplc="BE3EE6E0">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9">
    <w:nsid w:val="778041AC"/>
    <w:multiLevelType w:val="hybridMultilevel"/>
    <w:tmpl w:val="0414C028"/>
    <w:lvl w:ilvl="0" w:tplc="98E29900">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E0D06A2"/>
    <w:multiLevelType w:val="multilevel"/>
    <w:tmpl w:val="8850C57A"/>
    <w:lvl w:ilvl="0">
      <w:start w:val="1"/>
      <w:numFmt w:val="decimal"/>
      <w:lvlText w:val="%1."/>
      <w:lvlJc w:val="left"/>
      <w:pPr>
        <w:ind w:left="1069" w:hanging="360"/>
      </w:pPr>
      <w:rPr>
        <w:rFonts w:hint="default"/>
        <w:b w:val="0"/>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num w:numId="1">
    <w:abstractNumId w:val="30"/>
  </w:num>
  <w:num w:numId="2">
    <w:abstractNumId w:val="29"/>
  </w:num>
  <w:num w:numId="3">
    <w:abstractNumId w:val="19"/>
  </w:num>
  <w:num w:numId="4">
    <w:abstractNumId w:val="9"/>
  </w:num>
  <w:num w:numId="5">
    <w:abstractNumId w:val="8"/>
  </w:num>
  <w:num w:numId="6">
    <w:abstractNumId w:val="0"/>
  </w:num>
  <w:num w:numId="7">
    <w:abstractNumId w:val="28"/>
  </w:num>
  <w:num w:numId="8">
    <w:abstractNumId w:val="11"/>
  </w:num>
  <w:num w:numId="9">
    <w:abstractNumId w:val="25"/>
  </w:num>
  <w:num w:numId="10">
    <w:abstractNumId w:val="22"/>
  </w:num>
  <w:num w:numId="11">
    <w:abstractNumId w:val="18"/>
  </w:num>
  <w:num w:numId="12">
    <w:abstractNumId w:val="15"/>
  </w:num>
  <w:num w:numId="13">
    <w:abstractNumId w:val="29"/>
  </w:num>
  <w:num w:numId="14">
    <w:abstractNumId w:val="17"/>
  </w:num>
  <w:num w:numId="15">
    <w:abstractNumId w:val="27"/>
  </w:num>
  <w:num w:numId="16">
    <w:abstractNumId w:val="20"/>
  </w:num>
  <w:num w:numId="17">
    <w:abstractNumId w:val="29"/>
  </w:num>
  <w:num w:numId="18">
    <w:abstractNumId w:val="14"/>
  </w:num>
  <w:num w:numId="19">
    <w:abstractNumId w:val="16"/>
  </w:num>
  <w:num w:numId="20">
    <w:abstractNumId w:val="31"/>
  </w:num>
  <w:num w:numId="21">
    <w:abstractNumId w:val="24"/>
  </w:num>
  <w:num w:numId="22">
    <w:abstractNumId w:val="12"/>
  </w:num>
  <w:num w:numId="23">
    <w:abstractNumId w:val="10"/>
  </w:num>
  <w:num w:numId="24">
    <w:abstractNumId w:val="26"/>
  </w:num>
  <w:num w:numId="25">
    <w:abstractNumId w:val="21"/>
  </w:num>
  <w:num w:numId="26">
    <w:abstractNumId w:val="7"/>
  </w:num>
  <w:num w:numId="27">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893"/>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355"/>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652"/>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4C38"/>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3A79"/>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1851"/>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5F8B"/>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1FC"/>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A30"/>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4025"/>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2B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A39"/>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205"/>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29B1"/>
    <w:rsid w:val="0092326B"/>
    <w:rsid w:val="00924AF2"/>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27D4"/>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579B"/>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95D"/>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445"/>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D3B"/>
    <w:rsid w:val="00EC7F00"/>
    <w:rsid w:val="00ED0873"/>
    <w:rsid w:val="00ED1743"/>
    <w:rsid w:val="00ED1C7D"/>
    <w:rsid w:val="00ED1EED"/>
    <w:rsid w:val="00ED39ED"/>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8B57-C8EA-4739-B356-C622617D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2014-04-04T12:13:00Z</cp:lastPrinted>
  <dcterms:created xsi:type="dcterms:W3CDTF">2014-04-07T10:03:00Z</dcterms:created>
  <dcterms:modified xsi:type="dcterms:W3CDTF">2014-04-07T10:11:00Z</dcterms:modified>
</cp:coreProperties>
</file>