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E4309F">
        <w:rPr>
          <w:b/>
          <w:sz w:val="32"/>
          <w:szCs w:val="32"/>
        </w:rPr>
        <w:t>024</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E4309F">
        <w:rPr>
          <w:b/>
          <w:sz w:val="32"/>
          <w:szCs w:val="32"/>
        </w:rPr>
        <w:t>24</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E4309F">
        <w:t>024</w:t>
      </w:r>
      <w:r w:rsidR="00C64E36" w:rsidRPr="008F079F">
        <w:t>/</w:t>
      </w:r>
      <w:r w:rsidR="00476851" w:rsidRPr="008F079F">
        <w:t>НКПОКТ</w:t>
      </w:r>
      <w:r w:rsidR="00C64E36" w:rsidRPr="008F079F">
        <w:t>/</w:t>
      </w:r>
      <w:r w:rsidR="00E4309F">
        <w:t>0024</w:t>
      </w:r>
      <w:r w:rsidR="00C64E36" w:rsidRPr="008F079F">
        <w:t xml:space="preserve"> на право заключения договора на </w:t>
      </w:r>
      <w:r w:rsidR="00476851" w:rsidRPr="008F079F">
        <w:t xml:space="preserve">выполнение работ по капитальному ремонту </w:t>
      </w:r>
      <w:r w:rsidR="00E4309F">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F876EE">
        <w:rPr>
          <w:b/>
        </w:rPr>
        <w:t xml:space="preserve"> </w:t>
      </w:r>
      <w:r w:rsidR="00F876EE" w:rsidRPr="001C3165">
        <w:rPr>
          <w:szCs w:val="28"/>
        </w:rPr>
        <w:t>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E4309F" w:rsidRPr="008F079F" w:rsidRDefault="00124964" w:rsidP="00E4309F">
      <w:pPr>
        <w:jc w:val="both"/>
      </w:pPr>
      <w:r w:rsidRPr="00061265">
        <w:rPr>
          <w:szCs w:val="28"/>
        </w:rPr>
        <w:t xml:space="preserve">Предмет договора: </w:t>
      </w:r>
      <w:r w:rsidR="00F876EE" w:rsidRPr="008F079F">
        <w:t xml:space="preserve">выполнение работ </w:t>
      </w:r>
      <w:r w:rsidR="00E4309F" w:rsidRPr="008F079F">
        <w:t xml:space="preserve">по капитальному ремонту </w:t>
      </w:r>
      <w:r w:rsidR="00E4309F">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E4309F">
        <w:rPr>
          <w:b/>
        </w:rPr>
        <w:t xml:space="preserve"> </w:t>
      </w:r>
      <w:r w:rsidR="00E4309F" w:rsidRPr="001C3165">
        <w:rPr>
          <w:szCs w:val="28"/>
        </w:rPr>
        <w:t>филиала ОАО «ТрансКонтейнер» на Октябрьской железной дороге в 2014 году.</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E4309F">
        <w:rPr>
          <w:szCs w:val="28"/>
        </w:rPr>
        <w:t>1</w:t>
      </w:r>
      <w:r w:rsidR="00AB1349">
        <w:rPr>
          <w:szCs w:val="28"/>
        </w:rPr>
        <w:t xml:space="preserve"> 0</w:t>
      </w:r>
      <w:r w:rsidR="00476851" w:rsidRPr="00061265">
        <w:rPr>
          <w:szCs w:val="28"/>
        </w:rPr>
        <w:t>00 000 (</w:t>
      </w:r>
      <w:r w:rsidR="00E4309F">
        <w:rPr>
          <w:szCs w:val="28"/>
        </w:rPr>
        <w:t>Один</w:t>
      </w:r>
      <w:r w:rsidR="00E966DC">
        <w:rPr>
          <w:szCs w:val="28"/>
        </w:rPr>
        <w:t xml:space="preserve"> миллион</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F876EE" w:rsidP="00E4309F">
            <w:pPr>
              <w:ind w:firstLine="0"/>
              <w:jc w:val="center"/>
              <w:rPr>
                <w:sz w:val="24"/>
                <w:szCs w:val="24"/>
              </w:rPr>
            </w:pPr>
            <w:r>
              <w:rPr>
                <w:sz w:val="24"/>
                <w:szCs w:val="24"/>
              </w:rPr>
              <w:t>4</w:t>
            </w:r>
            <w:r w:rsidR="00E4309F">
              <w:rPr>
                <w:sz w:val="24"/>
                <w:szCs w:val="24"/>
              </w:rPr>
              <w:t>520519</w:t>
            </w:r>
          </w:p>
        </w:tc>
        <w:tc>
          <w:tcPr>
            <w:tcW w:w="1843" w:type="dxa"/>
            <w:vAlign w:val="center"/>
          </w:tcPr>
          <w:p w:rsidR="00AC0842" w:rsidRPr="004E18A7" w:rsidRDefault="00F876EE" w:rsidP="00EE498F">
            <w:pPr>
              <w:ind w:firstLine="0"/>
              <w:jc w:val="center"/>
              <w:rPr>
                <w:sz w:val="24"/>
                <w:szCs w:val="24"/>
              </w:rPr>
            </w:pPr>
            <w:r>
              <w:rPr>
                <w:sz w:val="24"/>
                <w:szCs w:val="24"/>
              </w:rPr>
              <w:t>45.21.</w:t>
            </w:r>
            <w:r w:rsidR="00E4309F">
              <w:rPr>
                <w:sz w:val="24"/>
                <w:szCs w:val="24"/>
              </w:rPr>
              <w:t>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E4309F">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AB1349">
              <w:rPr>
                <w:sz w:val="24"/>
                <w:szCs w:val="24"/>
              </w:rPr>
              <w:t>24</w:t>
            </w:r>
            <w:r w:rsidR="00E4309F">
              <w:rPr>
                <w:sz w:val="24"/>
                <w:szCs w:val="24"/>
              </w:rPr>
              <w:t>4</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E4309F">
        <w:rPr>
          <w:szCs w:val="28"/>
        </w:rPr>
        <w:t>192007, РФ, г.Санкт-Петербург, Лиговский пр., д. 240, лит А.</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373200">
        <w:rPr>
          <w:szCs w:val="28"/>
        </w:rPr>
        <w:t xml:space="preserve"> 21</w:t>
      </w:r>
      <w:r w:rsidR="00EE498F">
        <w:rPr>
          <w:szCs w:val="28"/>
        </w:rPr>
        <w:t xml:space="preserve">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2D27F3">
        <w:rPr>
          <w:szCs w:val="28"/>
        </w:rPr>
        <w:t xml:space="preserve"> 10</w:t>
      </w:r>
      <w:r w:rsidR="00EE498F">
        <w:rPr>
          <w:szCs w:val="28"/>
        </w:rPr>
        <w:t xml:space="preserve">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2D27F3">
        <w:rPr>
          <w:szCs w:val="28"/>
        </w:rPr>
        <w:t xml:space="preserve"> 10</w:t>
      </w:r>
      <w:r w:rsidR="00EE498F">
        <w:rPr>
          <w:szCs w:val="28"/>
        </w:rPr>
        <w:t xml:space="preserve">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16</w:t>
      </w:r>
      <w:r w:rsidR="00EE498F">
        <w:rPr>
          <w:szCs w:val="28"/>
        </w:rPr>
        <w:t xml:space="preserve"> </w:t>
      </w:r>
      <w:r w:rsidR="00B677F8" w:rsidRPr="009C716F">
        <w:rPr>
          <w:szCs w:val="28"/>
        </w:rPr>
        <w:t xml:space="preserve">» </w:t>
      </w:r>
      <w:r w:rsidR="00EE498F">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E4309F">
        <w:t xml:space="preserve"> 14</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E4309F">
        <w:rPr>
          <w:szCs w:val="28"/>
        </w:rPr>
        <w:t>20</w:t>
      </w:r>
      <w:r w:rsidR="00EE498F">
        <w:rPr>
          <w:szCs w:val="28"/>
        </w:rPr>
        <w:t xml:space="preserve"> </w:t>
      </w:r>
      <w:r w:rsidR="003C58C8" w:rsidRPr="009C716F">
        <w:rPr>
          <w:szCs w:val="28"/>
        </w:rPr>
        <w:t xml:space="preserve">» </w:t>
      </w:r>
      <w:r w:rsidR="00EE498F">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AB1349">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E4309F">
        <w:rPr>
          <w:szCs w:val="28"/>
        </w:rPr>
        <w:t>20</w:t>
      </w:r>
      <w:r w:rsidR="00EE498F">
        <w:rPr>
          <w:szCs w:val="28"/>
        </w:rPr>
        <w:t xml:space="preserve">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AB1349">
        <w:t xml:space="preserve"> 11</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5634C1">
        <w:lastRenderedPageBreak/>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3A" w:rsidRDefault="008B763A" w:rsidP="00CB1C18">
      <w:r>
        <w:separator/>
      </w:r>
    </w:p>
  </w:endnote>
  <w:endnote w:type="continuationSeparator" w:id="1">
    <w:p w:rsidR="008B763A" w:rsidRDefault="008B76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3A" w:rsidRDefault="008B763A" w:rsidP="00CB1C18">
      <w:r>
        <w:separator/>
      </w:r>
    </w:p>
  </w:footnote>
  <w:footnote w:type="continuationSeparator" w:id="1">
    <w:p w:rsidR="008B763A" w:rsidRDefault="008B76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1680C">
    <w:pPr>
      <w:pStyle w:val="af0"/>
      <w:jc w:val="center"/>
    </w:pPr>
    <w:fldSimple w:instr=" PAGE   \* MERGEFORMAT ">
      <w:r w:rsidR="00E4309F">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6F7"/>
    <w:rsid w:val="002C0F1D"/>
    <w:rsid w:val="002C536B"/>
    <w:rsid w:val="002D27F3"/>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4309F"/>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24</cp:revision>
  <cp:lastPrinted>2014-05-20T12:52:00Z</cp:lastPrinted>
  <dcterms:created xsi:type="dcterms:W3CDTF">2014-04-01T12:03:00Z</dcterms:created>
  <dcterms:modified xsi:type="dcterms:W3CDTF">2014-05-21T13:46:00Z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