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FE4A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Pr="00187C15">
        <w:rPr>
          <w:b/>
          <w:bCs/>
          <w:szCs w:val="28"/>
        </w:rPr>
        <w:t>62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C24347" w:rsidRPr="00FD5A59">
        <w:rPr>
          <w:b/>
          <w:bCs/>
          <w:sz w:val="26"/>
          <w:szCs w:val="26"/>
        </w:rPr>
        <w:t>11</w:t>
      </w:r>
      <w:r w:rsidR="000F7BA2">
        <w:rPr>
          <w:b/>
          <w:bCs/>
          <w:sz w:val="26"/>
          <w:szCs w:val="26"/>
        </w:rPr>
        <w:t xml:space="preserve"> </w:t>
      </w:r>
      <w:r w:rsidR="00E47DF0">
        <w:rPr>
          <w:b/>
          <w:bCs/>
          <w:sz w:val="26"/>
          <w:szCs w:val="26"/>
        </w:rPr>
        <w:t xml:space="preserve">июня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D65C1" w:rsidRPr="00DD707E" w:rsidTr="00B1152A">
        <w:trPr>
          <w:jc w:val="center"/>
        </w:trPr>
        <w:tc>
          <w:tcPr>
            <w:tcW w:w="463" w:type="dxa"/>
          </w:tcPr>
          <w:p w:rsidR="002D65C1" w:rsidRDefault="002D65C1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  <w:bookmarkStart w:id="0" w:name="_GoBack"/>
            <w:bookmarkEnd w:id="0"/>
          </w:p>
        </w:tc>
        <w:tc>
          <w:tcPr>
            <w:tcW w:w="3833" w:type="dxa"/>
            <w:gridSpan w:val="2"/>
          </w:tcPr>
          <w:p w:rsidR="002D65C1" w:rsidRDefault="002D65C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2D65C1" w:rsidRDefault="002D65C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D65C1" w:rsidRPr="00DD707E" w:rsidRDefault="002D65C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47DF0" w:rsidRPr="00DD707E" w:rsidTr="00B1152A">
        <w:trPr>
          <w:jc w:val="center"/>
        </w:trPr>
        <w:tc>
          <w:tcPr>
            <w:tcW w:w="463" w:type="dxa"/>
          </w:tcPr>
          <w:p w:rsidR="00E47DF0" w:rsidRPr="00E47DF0" w:rsidRDefault="00E47DF0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47DF0" w:rsidRPr="00E47DF0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47DF0" w:rsidRPr="00E47DF0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E47DF0" w:rsidRDefault="00E47DF0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132536" w:rsidRDefault="0013253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32536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32536" w:rsidRPr="00DD707E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E47DF0" w:rsidRPr="00DD707E" w:rsidTr="00B1152A">
        <w:trPr>
          <w:jc w:val="center"/>
        </w:trPr>
        <w:tc>
          <w:tcPr>
            <w:tcW w:w="463" w:type="dxa"/>
          </w:tcPr>
          <w:p w:rsidR="00E47DF0" w:rsidRPr="00DD707E" w:rsidRDefault="00E47DF0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47DF0" w:rsidRPr="00DD707E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23569C" w:rsidRPr="00187C15">
        <w:t>4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506D33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81154" w:rsidRPr="00506D33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25012" w:rsidRPr="00BA6359" w:rsidRDefault="009629B7" w:rsidP="00A33CE6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</w:r>
      <w:r w:rsidR="00C24347" w:rsidRPr="00C24347">
        <w:rPr>
          <w:sz w:val="24"/>
          <w:szCs w:val="24"/>
        </w:rPr>
        <w:t>№ ОК/014/ЦКПРАС/0049 на право заключения договора на выполнение работ по доработке автоматизированной системы поддержки пользователей информационных систем Сервис Деск на базе программного обеспечения «</w:t>
      </w:r>
      <w:proofErr w:type="spellStart"/>
      <w:r w:rsidR="00C24347" w:rsidRPr="00C24347">
        <w:rPr>
          <w:sz w:val="24"/>
          <w:szCs w:val="24"/>
        </w:rPr>
        <w:t>Naumen</w:t>
      </w:r>
      <w:proofErr w:type="spellEnd"/>
      <w:r w:rsidR="00C24347" w:rsidRPr="00C24347">
        <w:rPr>
          <w:sz w:val="24"/>
          <w:szCs w:val="24"/>
        </w:rPr>
        <w:t xml:space="preserve"> </w:t>
      </w:r>
      <w:proofErr w:type="spellStart"/>
      <w:r w:rsidR="00C24347" w:rsidRPr="00C24347">
        <w:rPr>
          <w:sz w:val="24"/>
          <w:szCs w:val="24"/>
        </w:rPr>
        <w:t>Service</w:t>
      </w:r>
      <w:proofErr w:type="spellEnd"/>
      <w:r w:rsidR="00C24347" w:rsidRPr="00C24347">
        <w:rPr>
          <w:sz w:val="24"/>
          <w:szCs w:val="24"/>
        </w:rPr>
        <w:t xml:space="preserve"> </w:t>
      </w:r>
      <w:proofErr w:type="spellStart"/>
      <w:r w:rsidR="00C24347" w:rsidRPr="00C24347">
        <w:rPr>
          <w:sz w:val="24"/>
          <w:szCs w:val="24"/>
        </w:rPr>
        <w:t>Desk</w:t>
      </w:r>
      <w:proofErr w:type="spellEnd"/>
      <w:r w:rsidR="00C24347" w:rsidRPr="00C24347">
        <w:rPr>
          <w:sz w:val="24"/>
          <w:szCs w:val="24"/>
        </w:rPr>
        <w:t xml:space="preserve"> 4.0» на основании заявок Заказчика со сроком выполнения одной заявки не более 320 часов в 2014 – 2017 годах.</w:t>
      </w:r>
    </w:p>
    <w:p w:rsidR="00A33CE6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0F7BA2">
        <w:rPr>
          <w:b/>
          <w:sz w:val="24"/>
          <w:szCs w:val="24"/>
        </w:rPr>
        <w:t>:</w:t>
      </w:r>
    </w:p>
    <w:p w:rsidR="000F7BA2" w:rsidRPr="003B3EA5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534"/>
        <w:gridCol w:w="5100"/>
      </w:tblGrid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AB08E4" w:rsidRDefault="00C24347" w:rsidP="00A33CE6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CF68FD" w:rsidRPr="006D3B60">
              <w:rPr>
                <w:sz w:val="24"/>
                <w:szCs w:val="24"/>
              </w:rPr>
              <w:t>.0</w:t>
            </w:r>
            <w:r w:rsidR="00C81E46">
              <w:rPr>
                <w:sz w:val="24"/>
                <w:szCs w:val="24"/>
                <w:lang w:val="en-US"/>
              </w:rPr>
              <w:t>6</w:t>
            </w:r>
            <w:r w:rsidR="00CF68FD" w:rsidRPr="006D3B60">
              <w:rPr>
                <w:sz w:val="24"/>
                <w:szCs w:val="24"/>
              </w:rPr>
              <w:t xml:space="preserve">.2014 в </w:t>
            </w:r>
            <w:r w:rsidR="00A33CE6">
              <w:rPr>
                <w:sz w:val="24"/>
                <w:szCs w:val="24"/>
              </w:rPr>
              <w:t>14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6E1D62" w:rsidRPr="00181154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 w:rsidR="00C533B7">
              <w:rPr>
                <w:snapToGrid/>
                <w:sz w:val="24"/>
                <w:szCs w:val="24"/>
              </w:rPr>
              <w:t xml:space="preserve"> </w:t>
            </w:r>
            <w:r w:rsidR="00DB2695" w:rsidRPr="00181154">
              <w:rPr>
                <w:snapToGrid/>
                <w:sz w:val="24"/>
                <w:szCs w:val="24"/>
              </w:rPr>
              <w:t>г.</w:t>
            </w:r>
            <w:r w:rsidRPr="00181154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00" w:type="dxa"/>
            <w:vAlign w:val="center"/>
          </w:tcPr>
          <w:p w:rsidR="00AB08E4" w:rsidRPr="00C24347" w:rsidRDefault="006038D5" w:rsidP="00C24347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1E46">
              <w:rPr>
                <w:sz w:val="24"/>
                <w:szCs w:val="24"/>
              </w:rPr>
              <w:t xml:space="preserve">ыполнение работ </w:t>
            </w:r>
            <w:r w:rsidR="00C24347" w:rsidRPr="00C24347">
              <w:rPr>
                <w:sz w:val="24"/>
                <w:szCs w:val="24"/>
              </w:rPr>
              <w:t xml:space="preserve">по доработке программного </w:t>
            </w:r>
            <w:proofErr w:type="gramStart"/>
            <w:r w:rsidR="00C24347" w:rsidRPr="00C24347">
              <w:rPr>
                <w:sz w:val="24"/>
                <w:szCs w:val="24"/>
              </w:rPr>
              <w:t>обеспечения автоматизированной системы поддержки пользователей информационных систем</w:t>
            </w:r>
            <w:proofErr w:type="gramEnd"/>
            <w:r w:rsidR="00C24347" w:rsidRPr="00C24347">
              <w:rPr>
                <w:sz w:val="24"/>
                <w:szCs w:val="24"/>
              </w:rPr>
              <w:t xml:space="preserve"> Сервис Деск на базе программного обеспечения «</w:t>
            </w:r>
            <w:proofErr w:type="spellStart"/>
            <w:r w:rsidR="00C24347" w:rsidRPr="00C24347">
              <w:rPr>
                <w:sz w:val="24"/>
                <w:szCs w:val="24"/>
              </w:rPr>
              <w:t>Naumen</w:t>
            </w:r>
            <w:proofErr w:type="spellEnd"/>
            <w:r w:rsidR="00C24347" w:rsidRPr="00C24347">
              <w:rPr>
                <w:sz w:val="24"/>
                <w:szCs w:val="24"/>
              </w:rPr>
              <w:t xml:space="preserve"> </w:t>
            </w:r>
            <w:proofErr w:type="spellStart"/>
            <w:r w:rsidR="00C24347" w:rsidRPr="00C24347">
              <w:rPr>
                <w:sz w:val="24"/>
                <w:szCs w:val="24"/>
              </w:rPr>
              <w:t>Service</w:t>
            </w:r>
            <w:proofErr w:type="spellEnd"/>
            <w:r w:rsidR="00C24347" w:rsidRPr="00C24347">
              <w:rPr>
                <w:sz w:val="24"/>
                <w:szCs w:val="24"/>
              </w:rPr>
              <w:t xml:space="preserve"> </w:t>
            </w:r>
            <w:proofErr w:type="spellStart"/>
            <w:r w:rsidR="00C24347" w:rsidRPr="00C24347">
              <w:rPr>
                <w:sz w:val="24"/>
                <w:szCs w:val="24"/>
              </w:rPr>
              <w:t>Desk</w:t>
            </w:r>
            <w:proofErr w:type="spellEnd"/>
            <w:r w:rsidR="00C24347" w:rsidRPr="00C24347">
              <w:rPr>
                <w:sz w:val="24"/>
                <w:szCs w:val="24"/>
              </w:rPr>
              <w:t xml:space="preserve"> 4.0» на основании заявок Заказчика со сроком выполнения одной заявки не более 320 часов.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A824B1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 w:rsidR="00A824B1">
              <w:t>договора</w:t>
            </w:r>
          </w:p>
        </w:tc>
        <w:tc>
          <w:tcPr>
            <w:tcW w:w="5100" w:type="dxa"/>
            <w:vAlign w:val="center"/>
          </w:tcPr>
          <w:p w:rsidR="00F0452F" w:rsidRPr="000005B8" w:rsidRDefault="006038D5" w:rsidP="00CE0AB8">
            <w:pPr>
              <w:pStyle w:val="Default"/>
            </w:pPr>
            <w:r>
              <w:rPr>
                <w:szCs w:val="20"/>
              </w:rPr>
              <w:t>4</w:t>
            </w:r>
            <w:r w:rsidR="00A33CE6">
              <w:rPr>
                <w:szCs w:val="20"/>
              </w:rPr>
              <w:t xml:space="preserve"> 0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  <w:r w:rsidR="00A33CE6">
              <w:t>, без учета НДС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C01BF1" w:rsidRPr="00C01BF1">
        <w:rPr>
          <w:bCs/>
          <w:sz w:val="24"/>
          <w:szCs w:val="24"/>
        </w:rPr>
        <w:t>10</w:t>
      </w:r>
      <w:r w:rsidR="002C2131">
        <w:rPr>
          <w:bCs/>
          <w:sz w:val="24"/>
          <w:szCs w:val="24"/>
        </w:rPr>
        <w:t>.</w:t>
      </w:r>
      <w:r w:rsidR="00CE0AB8" w:rsidRPr="00CE0AB8">
        <w:rPr>
          <w:bCs/>
          <w:sz w:val="24"/>
          <w:szCs w:val="24"/>
        </w:rPr>
        <w:t>0</w:t>
      </w:r>
      <w:r w:rsidR="001F0265">
        <w:rPr>
          <w:bCs/>
          <w:sz w:val="24"/>
          <w:szCs w:val="24"/>
        </w:rPr>
        <w:t>6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83641B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3382"/>
        <w:gridCol w:w="3139"/>
        <w:gridCol w:w="2420"/>
      </w:tblGrid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0005B8" w:rsidRDefault="00A13723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A13723" w:rsidRPr="00C24347" w:rsidTr="00944C66">
        <w:trPr>
          <w:jc w:val="center"/>
        </w:trPr>
        <w:tc>
          <w:tcPr>
            <w:tcW w:w="4104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2"/>
            <w:vAlign w:val="center"/>
          </w:tcPr>
          <w:p w:rsidR="00A13723" w:rsidRPr="00FD5A59" w:rsidRDefault="005E73D6" w:rsidP="005E73D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Наумен</w:t>
            </w:r>
            <w:proofErr w:type="spellEnd"/>
            <w:r>
              <w:rPr>
                <w:sz w:val="24"/>
                <w:szCs w:val="24"/>
              </w:rPr>
              <w:t xml:space="preserve"> консалтинг», ИНН 7725507256, КПП 772501001, ОГРН 1047796228622 </w:t>
            </w:r>
          </w:p>
        </w:tc>
      </w:tr>
      <w:tr w:rsidR="00A13723" w:rsidRPr="000005B8" w:rsidTr="00944C66">
        <w:trPr>
          <w:jc w:val="center"/>
        </w:trPr>
        <w:tc>
          <w:tcPr>
            <w:tcW w:w="4104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2"/>
            <w:vAlign w:val="center"/>
          </w:tcPr>
          <w:p w:rsidR="00A13723" w:rsidRPr="009621F1" w:rsidRDefault="00A13723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A13723" w:rsidRPr="000005B8" w:rsidTr="00944C66">
        <w:trPr>
          <w:jc w:val="center"/>
        </w:trPr>
        <w:tc>
          <w:tcPr>
            <w:tcW w:w="4104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559" w:type="dxa"/>
            <w:gridSpan w:val="2"/>
            <w:vAlign w:val="center"/>
          </w:tcPr>
          <w:p w:rsidR="00A13723" w:rsidRPr="00676B65" w:rsidRDefault="005E73D6" w:rsidP="008364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10.06.2014, 10:30</w:t>
            </w:r>
          </w:p>
        </w:tc>
      </w:tr>
      <w:tr w:rsidR="00A13723" w:rsidRPr="000005B8" w:rsidTr="00944C66">
        <w:trPr>
          <w:trHeight w:val="336"/>
          <w:jc w:val="center"/>
        </w:trPr>
        <w:tc>
          <w:tcPr>
            <w:tcW w:w="4104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2"/>
            <w:vAlign w:val="center"/>
          </w:tcPr>
          <w:p w:rsidR="00A13723" w:rsidRPr="00074EFA" w:rsidRDefault="00A13723" w:rsidP="00074EFA">
            <w:pPr>
              <w:ind w:firstLine="0"/>
              <w:jc w:val="both"/>
            </w:pPr>
            <w:proofErr w:type="gramStart"/>
            <w:r w:rsidRPr="004948E0">
              <w:rPr>
                <w:sz w:val="24"/>
                <w:szCs w:val="24"/>
              </w:rPr>
              <w:t>С даты заключения</w:t>
            </w:r>
            <w:proofErr w:type="gramEnd"/>
            <w:r w:rsidRPr="004948E0">
              <w:rPr>
                <w:sz w:val="24"/>
                <w:szCs w:val="24"/>
              </w:rPr>
              <w:t xml:space="preserve"> договора до 31 января 201</w:t>
            </w:r>
            <w:r w:rsidR="001F0265">
              <w:rPr>
                <w:sz w:val="24"/>
                <w:szCs w:val="24"/>
              </w:rPr>
              <w:t>7</w:t>
            </w:r>
            <w:r w:rsidRPr="004948E0">
              <w:rPr>
                <w:sz w:val="24"/>
                <w:szCs w:val="24"/>
              </w:rPr>
              <w:t xml:space="preserve"> г.</w:t>
            </w:r>
          </w:p>
        </w:tc>
      </w:tr>
      <w:tr w:rsidR="00A13723" w:rsidRPr="000005B8" w:rsidTr="00944C66">
        <w:trPr>
          <w:trHeight w:val="1160"/>
          <w:jc w:val="center"/>
        </w:trPr>
        <w:tc>
          <w:tcPr>
            <w:tcW w:w="4104" w:type="dxa"/>
            <w:gridSpan w:val="2"/>
          </w:tcPr>
          <w:p w:rsidR="00A13723" w:rsidRPr="00623BF9" w:rsidRDefault="00A13723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2"/>
            <w:vAlign w:val="center"/>
          </w:tcPr>
          <w:p w:rsidR="00A13723" w:rsidRPr="00623BF9" w:rsidRDefault="00BA6359" w:rsidP="00BA6359">
            <w:pPr>
              <w:pStyle w:val="Default"/>
              <w:rPr>
                <w:color w:val="auto"/>
              </w:rPr>
            </w:pPr>
            <w:r>
              <w:t>К</w:t>
            </w:r>
            <w:r w:rsidRPr="002A57C6">
              <w:t>оличес</w:t>
            </w:r>
            <w:r>
              <w:t>тво (о</w:t>
            </w:r>
            <w:r w:rsidRPr="002A57C6">
              <w:t xml:space="preserve">бъем) работ определяется по мере поступления заявок Заказчика, суммарно в стоимостном выражении не </w:t>
            </w:r>
            <w:proofErr w:type="gramStart"/>
            <w:r w:rsidRPr="002A57C6">
              <w:t>бо</w:t>
            </w:r>
            <w:r w:rsidR="00012FC8">
              <w:t>лее максимальной</w:t>
            </w:r>
            <w:proofErr w:type="gramEnd"/>
            <w:r w:rsidR="00012FC8">
              <w:t xml:space="preserve"> цены договора: </w:t>
            </w:r>
            <w:r>
              <w:t>4</w:t>
            </w:r>
            <w:r w:rsidRPr="002A57C6">
              <w:t xml:space="preserve"> 000 000,00 рублей (без учета НДС)</w:t>
            </w:r>
          </w:p>
        </w:tc>
      </w:tr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181154" w:rsidRDefault="00A13723" w:rsidP="0018115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Pr="000005B8" w:rsidRDefault="00944C66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gridSpan w:val="2"/>
          </w:tcPr>
          <w:p w:rsidR="00944C66" w:rsidRPr="000005B8" w:rsidRDefault="00944C66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20" w:type="dxa"/>
          </w:tcPr>
          <w:p w:rsidR="00944C66" w:rsidRPr="000005B8" w:rsidRDefault="00944C66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</w:tr>
      <w:tr w:rsidR="00944C66" w:rsidRPr="000005B8" w:rsidTr="00944C66">
        <w:trPr>
          <w:trHeight w:val="343"/>
          <w:jc w:val="center"/>
        </w:trPr>
        <w:tc>
          <w:tcPr>
            <w:tcW w:w="722" w:type="dxa"/>
          </w:tcPr>
          <w:p w:rsidR="00944C66" w:rsidRPr="000005B8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  <w:p w:rsidR="00944C66" w:rsidRDefault="00944C66" w:rsidP="00F827F2">
            <w:pPr>
              <w:pStyle w:val="Default"/>
              <w:jc w:val="both"/>
            </w:pPr>
          </w:p>
        </w:tc>
        <w:tc>
          <w:tcPr>
            <w:tcW w:w="2420" w:type="dxa"/>
            <w:vAlign w:val="center"/>
          </w:tcPr>
          <w:p w:rsidR="00944C66" w:rsidRPr="000005B8" w:rsidRDefault="00944C66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trHeight w:val="366"/>
          <w:jc w:val="center"/>
        </w:trPr>
        <w:tc>
          <w:tcPr>
            <w:tcW w:w="722" w:type="dxa"/>
          </w:tcPr>
          <w:p w:rsidR="00944C66" w:rsidRPr="000005B8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Default"/>
              <w:jc w:val="both"/>
            </w:pPr>
            <w:r w:rsidRPr="000005B8">
              <w:t>Сведения о претенденте</w:t>
            </w:r>
          </w:p>
          <w:p w:rsidR="00944C66" w:rsidRDefault="00944C66" w:rsidP="00F827F2">
            <w:pPr>
              <w:pStyle w:val="Default"/>
              <w:jc w:val="both"/>
            </w:pPr>
          </w:p>
        </w:tc>
        <w:tc>
          <w:tcPr>
            <w:tcW w:w="2420" w:type="dxa"/>
            <w:vAlign w:val="center"/>
          </w:tcPr>
          <w:p w:rsidR="00944C66" w:rsidRPr="000005B8" w:rsidRDefault="00944C66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trHeight w:val="218"/>
          <w:jc w:val="center"/>
        </w:trPr>
        <w:tc>
          <w:tcPr>
            <w:tcW w:w="722" w:type="dxa"/>
          </w:tcPr>
          <w:p w:rsidR="00944C66" w:rsidRPr="000005B8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  <w:p w:rsidR="00944C66" w:rsidRDefault="00944C66" w:rsidP="00F827F2">
            <w:pPr>
              <w:pStyle w:val="Default"/>
              <w:jc w:val="both"/>
            </w:pPr>
          </w:p>
        </w:tc>
        <w:tc>
          <w:tcPr>
            <w:tcW w:w="2420" w:type="dxa"/>
            <w:vAlign w:val="center"/>
          </w:tcPr>
          <w:p w:rsidR="00944C66" w:rsidRPr="000005B8" w:rsidRDefault="00944C66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trHeight w:val="1793"/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790B38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Pr="00790B38">
              <w:t>выданную</w:t>
            </w:r>
            <w:proofErr w:type="gramEnd"/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Default"/>
              <w:jc w:val="both"/>
            </w:pPr>
            <w:r>
              <w:t>З</w:t>
            </w:r>
            <w:r w:rsidRPr="009B5CF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Default"/>
              <w:jc w:val="both"/>
            </w:pPr>
            <w:proofErr w:type="gramStart"/>
            <w:r>
              <w:t>И</w:t>
            </w:r>
            <w:r w:rsidRPr="009B5CF3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Pr="00B83250" w:rsidRDefault="00944C66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</w:t>
            </w:r>
            <w:r w:rsidRPr="009B5CF3">
              <w:rPr>
                <w:sz w:val="24"/>
              </w:rPr>
              <w:lastRenderedPageBreak/>
              <w:t>лиц)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9B5CF3">
              <w:rPr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C533B7">
            <w:pPr>
              <w:pStyle w:val="Default"/>
              <w:jc w:val="both"/>
            </w:pPr>
            <w:r>
              <w:t>Справка</w:t>
            </w:r>
            <w:r w:rsidRPr="009B5CF3">
              <w:t xml:space="preserve"> об исполнении претендентом обязанности по уплате налогов, с</w:t>
            </w:r>
            <w:r>
              <w:t>боров, пеней и штрафов, выданная</w:t>
            </w:r>
            <w:r w:rsidRPr="009B5CF3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B5CF3">
              <w:rPr>
                <w:bCs/>
              </w:rPr>
              <w:t xml:space="preserve">28 января 2013 г. № ММВ-7-12/29@ </w:t>
            </w:r>
            <w:r w:rsidRPr="009B5CF3">
              <w:t>с учетом внесенных в приказ изменений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88737D">
            <w:pPr>
              <w:pStyle w:val="Default"/>
              <w:jc w:val="both"/>
            </w:pPr>
            <w:r>
              <w:t>Р</w:t>
            </w:r>
            <w:r w:rsidRPr="009B5CF3"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5100F">
            <w:pPr>
              <w:pStyle w:val="Default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5100F">
            <w:pPr>
              <w:pStyle w:val="Default"/>
            </w:pPr>
            <w:r>
              <w:t>Документ, подтверждающий статус официального партнера                  ЗАО «</w:t>
            </w:r>
            <w:proofErr w:type="spellStart"/>
            <w:r>
              <w:t>Наумен</w:t>
            </w:r>
            <w:proofErr w:type="spellEnd"/>
            <w:r>
              <w:t>»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5100F">
            <w:pPr>
              <w:pStyle w:val="Default"/>
            </w:pPr>
            <w:r>
              <w:t xml:space="preserve">Документ, подтверждающий наличие у </w:t>
            </w:r>
            <w:r w:rsidRPr="003A42C2">
              <w:t>претендент</w:t>
            </w:r>
            <w:r>
              <w:t>а</w:t>
            </w:r>
            <w:r w:rsidRPr="003A42C2">
              <w:t>, участник</w:t>
            </w:r>
            <w:r>
              <w:t>а</w:t>
            </w:r>
            <w:r w:rsidRPr="003A42C2">
              <w:t xml:space="preserve"> </w:t>
            </w:r>
            <w:r>
              <w:t>права</w:t>
            </w:r>
            <w:r w:rsidRPr="00DA3C45">
              <w:t xml:space="preserve"> на модификацию (переработку, внесение любых изменений) программы «</w:t>
            </w:r>
            <w:proofErr w:type="spellStart"/>
            <w:r w:rsidRPr="00DA3C45">
              <w:t>Naumen</w:t>
            </w:r>
            <w:proofErr w:type="spellEnd"/>
            <w:r w:rsidRPr="00DA3C45">
              <w:t xml:space="preserve"> </w:t>
            </w:r>
            <w:proofErr w:type="spellStart"/>
            <w:r w:rsidRPr="00DA3C45">
              <w:t>Service</w:t>
            </w:r>
            <w:proofErr w:type="spellEnd"/>
            <w:r w:rsidRPr="00DA3C45">
              <w:t xml:space="preserve"> </w:t>
            </w:r>
            <w:proofErr w:type="spellStart"/>
            <w:r w:rsidRPr="00DA3C45">
              <w:t>Desk</w:t>
            </w:r>
            <w:proofErr w:type="spellEnd"/>
            <w:r w:rsidRPr="00DA3C45">
              <w:t xml:space="preserve"> 4.0»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 по форме приложения №</w:t>
            </w:r>
            <w:r w:rsidRPr="003A42C2">
              <w:rPr>
                <w:sz w:val="24"/>
              </w:rPr>
              <w:t xml:space="preserve">4 к настоящей документации о </w:t>
            </w:r>
            <w:proofErr w:type="gramStart"/>
            <w:r w:rsidRPr="003A42C2">
              <w:rPr>
                <w:sz w:val="24"/>
              </w:rPr>
              <w:t>закупке</w:t>
            </w:r>
            <w:proofErr w:type="gramEnd"/>
            <w:r w:rsidRPr="003A42C2">
              <w:rPr>
                <w:sz w:val="24"/>
              </w:rPr>
              <w:t xml:space="preserve"> о наличии опыта выполнения работ, оказания услуг, поставки товара и т.д. </w:t>
            </w:r>
            <w:r w:rsidRPr="00FC24E2">
              <w:rPr>
                <w:sz w:val="24"/>
              </w:rPr>
              <w:t xml:space="preserve">в области </w:t>
            </w:r>
            <w:r>
              <w:rPr>
                <w:sz w:val="24"/>
              </w:rPr>
              <w:t>разработки и внедрения</w:t>
            </w:r>
            <w:r w:rsidRPr="00FC24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и/или развития систем </w:t>
            </w:r>
            <w:r w:rsidRPr="002457E8">
              <w:rPr>
                <w:sz w:val="24"/>
                <w:lang w:val="en-US"/>
              </w:rPr>
              <w:t>Service</w:t>
            </w:r>
            <w:r w:rsidRPr="002457E8">
              <w:rPr>
                <w:sz w:val="24"/>
              </w:rPr>
              <w:t xml:space="preserve"> </w:t>
            </w:r>
            <w:r w:rsidRPr="002457E8">
              <w:rPr>
                <w:sz w:val="24"/>
                <w:lang w:val="en-US"/>
              </w:rPr>
              <w:t>Desk</w:t>
            </w:r>
            <w:r w:rsidRPr="002457E8">
              <w:rPr>
                <w:sz w:val="24"/>
              </w:rPr>
              <w:t xml:space="preserve"> на базе программного обеспечения </w:t>
            </w:r>
            <w:proofErr w:type="spellStart"/>
            <w:r w:rsidRPr="002457E8">
              <w:rPr>
                <w:sz w:val="24"/>
              </w:rPr>
              <w:t>Naumen</w:t>
            </w:r>
            <w:proofErr w:type="spellEnd"/>
            <w:r w:rsidRPr="002457E8">
              <w:rPr>
                <w:sz w:val="24"/>
              </w:rPr>
              <w:t xml:space="preserve"> </w:t>
            </w:r>
            <w:proofErr w:type="spellStart"/>
            <w:r w:rsidRPr="002457E8">
              <w:rPr>
                <w:sz w:val="24"/>
              </w:rPr>
              <w:t>Service</w:t>
            </w:r>
            <w:proofErr w:type="spellEnd"/>
            <w:r w:rsidRPr="002457E8">
              <w:rPr>
                <w:sz w:val="24"/>
              </w:rPr>
              <w:t xml:space="preserve"> </w:t>
            </w:r>
            <w:proofErr w:type="spellStart"/>
            <w:r w:rsidRPr="002457E8">
              <w:rPr>
                <w:sz w:val="24"/>
              </w:rPr>
              <w:t>Desk</w:t>
            </w:r>
            <w:proofErr w:type="spellEnd"/>
            <w:r w:rsidRPr="002457E8">
              <w:rPr>
                <w:sz w:val="24"/>
              </w:rPr>
              <w:t xml:space="preserve"> 4</w:t>
            </w:r>
            <w:r>
              <w:rPr>
                <w:sz w:val="24"/>
              </w:rPr>
              <w:t>.</w:t>
            </w:r>
            <w:r w:rsidRPr="002457E8">
              <w:rPr>
                <w:sz w:val="24"/>
              </w:rPr>
              <w:t>0.</w:t>
            </w:r>
            <w:r>
              <w:rPr>
                <w:sz w:val="24"/>
              </w:rPr>
              <w:t xml:space="preserve"> Стоимость каждого проекта должна быть не менее </w:t>
            </w:r>
            <w:r w:rsidRPr="00D658A6">
              <w:rPr>
                <w:sz w:val="24"/>
              </w:rPr>
              <w:t xml:space="preserve">3 </w:t>
            </w:r>
            <w:r>
              <w:rPr>
                <w:sz w:val="24"/>
              </w:rPr>
              <w:t>млн. руб. без учета НДС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>
              <w:rPr>
                <w:sz w:val="24"/>
              </w:rPr>
              <w:t>Сведения о составе проектной команды по форме приложения     № 6 к документации о закупке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944C66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>
              <w:rPr>
                <w:sz w:val="24"/>
              </w:rPr>
              <w:t>Р</w:t>
            </w:r>
            <w:r w:rsidRPr="00790B38">
              <w:rPr>
                <w:sz w:val="24"/>
              </w:rPr>
              <w:t xml:space="preserve">езюме специалистов, указываемых в таблице сведений о </w:t>
            </w:r>
            <w:r w:rsidRPr="00790B38">
              <w:rPr>
                <w:sz w:val="24"/>
              </w:rPr>
              <w:lastRenderedPageBreak/>
              <w:t xml:space="preserve">составе проектной команды по форме приложения № 6 к настоящей документации о закупке 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A42C2">
              <w:rPr>
                <w:sz w:val="24"/>
              </w:rPr>
              <w:t>опии сертификатов</w:t>
            </w:r>
            <w:r>
              <w:rPr>
                <w:sz w:val="24"/>
              </w:rPr>
              <w:t xml:space="preserve"> специалистов</w:t>
            </w:r>
            <w:r w:rsidRPr="003A42C2">
              <w:rPr>
                <w:sz w:val="24"/>
              </w:rPr>
              <w:t>, подтверждающих квалификацию</w:t>
            </w:r>
            <w:r w:rsidRPr="00944C66">
              <w:rPr>
                <w:sz w:val="24"/>
              </w:rPr>
              <w:t xml:space="preserve"> ITIL v.3 Expert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Pr="003A42C2" w:rsidRDefault="00944C66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A42C2">
              <w:rPr>
                <w:sz w:val="24"/>
              </w:rPr>
              <w:t>опии сертификатов</w:t>
            </w:r>
            <w:r>
              <w:rPr>
                <w:sz w:val="24"/>
              </w:rPr>
              <w:t xml:space="preserve"> специалистов</w:t>
            </w:r>
            <w:r w:rsidRPr="003A42C2">
              <w:rPr>
                <w:sz w:val="24"/>
              </w:rPr>
              <w:t>, подтверждающих квалификацию</w:t>
            </w:r>
            <w:r w:rsidRPr="00FC24E2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 xml:space="preserve">по программному продукту </w:t>
            </w:r>
            <w:r w:rsidRPr="00A565BB">
              <w:rPr>
                <w:sz w:val="24"/>
              </w:rPr>
              <w:t>«</w:t>
            </w:r>
            <w:proofErr w:type="spellStart"/>
            <w:r w:rsidRPr="00A565BB">
              <w:rPr>
                <w:sz w:val="24"/>
              </w:rPr>
              <w:t>Naumen</w:t>
            </w:r>
            <w:proofErr w:type="spellEnd"/>
            <w:r w:rsidRPr="00A565BB">
              <w:rPr>
                <w:sz w:val="24"/>
              </w:rPr>
              <w:t xml:space="preserve"> </w:t>
            </w:r>
            <w:proofErr w:type="spellStart"/>
            <w:r w:rsidRPr="00A565BB">
              <w:rPr>
                <w:sz w:val="24"/>
              </w:rPr>
              <w:t>Service</w:t>
            </w:r>
            <w:proofErr w:type="spellEnd"/>
            <w:r w:rsidRPr="00A565BB">
              <w:rPr>
                <w:sz w:val="24"/>
              </w:rPr>
              <w:t xml:space="preserve"> </w:t>
            </w:r>
            <w:proofErr w:type="spellStart"/>
            <w:r w:rsidRPr="00A565BB">
              <w:rPr>
                <w:sz w:val="24"/>
              </w:rPr>
              <w:t>Desk</w:t>
            </w:r>
            <w:proofErr w:type="spellEnd"/>
            <w:r w:rsidRPr="00A565BB">
              <w:rPr>
                <w:sz w:val="24"/>
              </w:rPr>
              <w:t xml:space="preserve"> 4</w:t>
            </w:r>
            <w:r>
              <w:rPr>
                <w:sz w:val="24"/>
              </w:rPr>
              <w:t>.</w:t>
            </w:r>
            <w:r w:rsidRPr="00A565BB">
              <w:rPr>
                <w:sz w:val="24"/>
              </w:rPr>
              <w:t>0»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</w:tbl>
    <w:p w:rsidR="000C5CA4" w:rsidRDefault="000C5CA4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E1D62">
        <w:rPr>
          <w:bCs/>
          <w:sz w:val="24"/>
          <w:szCs w:val="24"/>
        </w:rPr>
        <w:t xml:space="preserve">3. В результате анализа перечня документов, предоставленных в составе </w:t>
      </w:r>
      <w:r w:rsidR="0088737D">
        <w:rPr>
          <w:bCs/>
          <w:sz w:val="24"/>
          <w:szCs w:val="24"/>
        </w:rPr>
        <w:t>з</w:t>
      </w:r>
      <w:r w:rsidRPr="006E1D62">
        <w:rPr>
          <w:bCs/>
          <w:sz w:val="24"/>
          <w:szCs w:val="24"/>
        </w:rPr>
        <w:t>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>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C5CA4" w:rsidRPr="00B31094" w:rsidTr="00E47DF0">
        <w:tc>
          <w:tcPr>
            <w:tcW w:w="888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E47DF0">
        <w:tc>
          <w:tcPr>
            <w:tcW w:w="888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C5CA4" w:rsidRDefault="00944C66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Наумен</w:t>
            </w:r>
            <w:proofErr w:type="spellEnd"/>
            <w:r>
              <w:rPr>
                <w:sz w:val="24"/>
                <w:szCs w:val="24"/>
              </w:rPr>
              <w:t xml:space="preserve"> консалтинг», ИНН 7725507256, КПП 772501001, ОГРН 1047796228622 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>Предоставленные в составе заяв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 w:rsidR="00944C66">
        <w:rPr>
          <w:bCs/>
          <w:sz w:val="24"/>
          <w:szCs w:val="24"/>
        </w:rPr>
        <w:t>19</w:t>
      </w:r>
      <w:r w:rsidR="0015100F" w:rsidRPr="0015100F">
        <w:rPr>
          <w:bCs/>
          <w:sz w:val="24"/>
          <w:szCs w:val="24"/>
        </w:rPr>
        <w:t>.0</w:t>
      </w:r>
      <w:r w:rsidR="00705AFF">
        <w:rPr>
          <w:bCs/>
          <w:sz w:val="24"/>
          <w:szCs w:val="24"/>
        </w:rPr>
        <w:t>6</w:t>
      </w:r>
      <w:r w:rsidR="0015100F" w:rsidRPr="0015100F">
        <w:rPr>
          <w:bCs/>
          <w:sz w:val="24"/>
          <w:szCs w:val="24"/>
        </w:rPr>
        <w:t>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70297" w:rsidRPr="00DD707E" w:rsidRDefault="00543476" w:rsidP="001831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187C15" w:rsidRDefault="00F96B56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3192" w:rsidRPr="00DD707E" w:rsidTr="006203B7">
        <w:trPr>
          <w:trHeight w:val="567"/>
        </w:trPr>
        <w:tc>
          <w:tcPr>
            <w:tcW w:w="3402" w:type="dxa"/>
          </w:tcPr>
          <w:p w:rsidR="00183192" w:rsidRPr="00DD707E" w:rsidRDefault="00183192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83192" w:rsidRPr="00DD707E" w:rsidRDefault="00183192" w:rsidP="0018319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83192" w:rsidRPr="00DD707E" w:rsidRDefault="00183192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1F15BE">
        <w:rPr>
          <w:b/>
          <w:sz w:val="24"/>
          <w:szCs w:val="24"/>
          <w:lang w:val="en-US"/>
        </w:rPr>
        <w:t>19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3530AD">
        <w:rPr>
          <w:b/>
          <w:sz w:val="24"/>
          <w:szCs w:val="24"/>
        </w:rPr>
        <w:t xml:space="preserve">июня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D6" w:rsidRDefault="005E73D6" w:rsidP="002C7C03">
      <w:r>
        <w:separator/>
      </w:r>
    </w:p>
  </w:endnote>
  <w:endnote w:type="continuationSeparator" w:id="1">
    <w:p w:rsidR="005E73D6" w:rsidRDefault="005E73D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D6" w:rsidRDefault="005E73D6" w:rsidP="002C7C03">
      <w:r>
        <w:separator/>
      </w:r>
    </w:p>
  </w:footnote>
  <w:footnote w:type="continuationSeparator" w:id="1">
    <w:p w:rsidR="005E73D6" w:rsidRDefault="005E73D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D6" w:rsidRDefault="003E65BF">
    <w:pPr>
      <w:pStyle w:val="aa"/>
      <w:jc w:val="center"/>
    </w:pPr>
    <w:fldSimple w:instr=" PAGE   \* MERGEFORMAT ">
      <w:r w:rsidR="001F15BE">
        <w:rPr>
          <w:noProof/>
        </w:rPr>
        <w:t>2</w:t>
      </w:r>
    </w:fldSimple>
  </w:p>
  <w:p w:rsidR="005E73D6" w:rsidRDefault="005E73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3D33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432B"/>
    <w:rsid w:val="00074EFA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87C15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265"/>
    <w:rsid w:val="001F0B3B"/>
    <w:rsid w:val="001F15BE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4891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E65BF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683D"/>
    <w:rsid w:val="00427B60"/>
    <w:rsid w:val="004304E4"/>
    <w:rsid w:val="004306AB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E79F6"/>
    <w:rsid w:val="006F2BEC"/>
    <w:rsid w:val="006F5DF1"/>
    <w:rsid w:val="006F7A97"/>
    <w:rsid w:val="00702547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0C5A"/>
    <w:rsid w:val="007C3108"/>
    <w:rsid w:val="007C61A4"/>
    <w:rsid w:val="007D293B"/>
    <w:rsid w:val="007D2972"/>
    <w:rsid w:val="007D33A8"/>
    <w:rsid w:val="007D402C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37D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14F2"/>
    <w:rsid w:val="00A43B0B"/>
    <w:rsid w:val="00A44153"/>
    <w:rsid w:val="00A442BE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10A"/>
    <w:rsid w:val="00B62EB2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1BF1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73AD"/>
    <w:rsid w:val="00C40A83"/>
    <w:rsid w:val="00C4213D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1E46"/>
    <w:rsid w:val="00C83A23"/>
    <w:rsid w:val="00C85082"/>
    <w:rsid w:val="00C859EC"/>
    <w:rsid w:val="00C86507"/>
    <w:rsid w:val="00C87550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36E1"/>
    <w:rsid w:val="00CC59BC"/>
    <w:rsid w:val="00CC6725"/>
    <w:rsid w:val="00CC6B42"/>
    <w:rsid w:val="00CD11FC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70E50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70297"/>
    <w:rsid w:val="00E7093B"/>
    <w:rsid w:val="00E7204B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36C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5A59"/>
    <w:rsid w:val="00FD7E73"/>
    <w:rsid w:val="00FE2882"/>
    <w:rsid w:val="00FE4AF3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52E2-9CB0-4D01-84D8-186ABC1A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2014-06-17T11:46:00Z</cp:lastPrinted>
  <dcterms:created xsi:type="dcterms:W3CDTF">2014-06-23T06:16:00Z</dcterms:created>
  <dcterms:modified xsi:type="dcterms:W3CDTF">2014-06-23T06:16:00Z</dcterms:modified>
</cp:coreProperties>
</file>