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CE28E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2A1FC1" w:rsidP="00926A8F">
      <w:pPr>
        <w:ind w:left="720"/>
        <w:jc w:val="both"/>
      </w:pPr>
      <w:r>
        <w:t>….</w:t>
      </w:r>
    </w:p>
    <w:p w:rsidR="00926A8F" w:rsidRPr="009C0361" w:rsidRDefault="00926A8F" w:rsidP="00926A8F">
      <w:pPr>
        <w:ind w:left="720"/>
        <w:jc w:val="both"/>
      </w:pPr>
    </w:p>
    <w:p w:rsidR="00926A8F" w:rsidRPr="009C0361" w:rsidRDefault="00926A8F" w:rsidP="00CE28ED">
      <w:pPr>
        <w:numPr>
          <w:ilvl w:val="0"/>
          <w:numId w:val="8"/>
        </w:numPr>
        <w:tabs>
          <w:tab w:val="left" w:pos="0"/>
        </w:tabs>
        <w:suppressAutoHyphens/>
        <w:jc w:val="both"/>
      </w:pPr>
      <w:r w:rsidRPr="009C0361">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на оказание услуг по предоставлению круглосуточного доступа к информационному сервису BLOOMBERG PROFESSIONAL®. </w:t>
      </w:r>
    </w:p>
    <w:p w:rsidR="00926A8F" w:rsidRPr="009C0361" w:rsidRDefault="00926A8F" w:rsidP="00926A8F">
      <w:pPr>
        <w:tabs>
          <w:tab w:val="left" w:pos="0"/>
        </w:tabs>
        <w:suppressAutoHyphens/>
        <w:ind w:left="720"/>
        <w:jc w:val="both"/>
      </w:pPr>
      <w:r w:rsidRPr="009C0361">
        <w:t>Докладчик:  И.о</w:t>
      </w:r>
      <w:proofErr w:type="gramStart"/>
      <w:r w:rsidRPr="009C0361">
        <w:t>.Ц</w:t>
      </w:r>
      <w:proofErr w:type="gramEnd"/>
      <w:r w:rsidRPr="009C0361">
        <w:t xml:space="preserve">КПФР </w:t>
      </w:r>
      <w:r w:rsidRPr="009C0361">
        <w:rPr>
          <w:szCs w:val="28"/>
        </w:rPr>
        <w:t>Тураджанова Л.А.</w:t>
      </w:r>
    </w:p>
    <w:p w:rsidR="00926A8F" w:rsidRPr="009C0361" w:rsidRDefault="00926A8F" w:rsidP="00926A8F">
      <w:pPr>
        <w:ind w:left="720"/>
        <w:jc w:val="both"/>
      </w:pPr>
    </w:p>
    <w:p w:rsidR="000A162A" w:rsidRPr="009C0361" w:rsidRDefault="00CE28ED" w:rsidP="00E2653C">
      <w:pPr>
        <w:ind w:firstLine="708"/>
        <w:jc w:val="both"/>
        <w:rPr>
          <w:b/>
          <w:szCs w:val="28"/>
        </w:rPr>
      </w:pPr>
      <w:r>
        <w:t>….</w:t>
      </w:r>
    </w:p>
    <w:p w:rsidR="005B70BA" w:rsidRPr="009C0361" w:rsidRDefault="005B70BA" w:rsidP="00756854">
      <w:pPr>
        <w:pStyle w:val="ad"/>
        <w:ind w:left="0" w:firstLine="709"/>
        <w:jc w:val="both"/>
        <w:rPr>
          <w:b/>
          <w:szCs w:val="28"/>
        </w:rPr>
      </w:pPr>
    </w:p>
    <w:p w:rsidR="00A06A14" w:rsidRPr="009C0361" w:rsidRDefault="00A06A14" w:rsidP="00756854">
      <w:pPr>
        <w:pStyle w:val="ad"/>
        <w:ind w:left="0" w:firstLine="709"/>
        <w:jc w:val="both"/>
        <w:rPr>
          <w:b/>
          <w:szCs w:val="28"/>
        </w:rPr>
      </w:pPr>
    </w:p>
    <w:p w:rsidR="00D92E89" w:rsidRPr="009C0361" w:rsidRDefault="00756854" w:rsidP="00D92E89">
      <w:pPr>
        <w:pStyle w:val="ad"/>
        <w:ind w:left="0" w:firstLine="709"/>
        <w:jc w:val="both"/>
        <w:rPr>
          <w:b/>
          <w:szCs w:val="28"/>
        </w:rPr>
      </w:pPr>
      <w:r w:rsidRPr="009C0361">
        <w:rPr>
          <w:b/>
          <w:szCs w:val="28"/>
        </w:rPr>
        <w:t xml:space="preserve">По пункту </w:t>
      </w:r>
      <w:r w:rsidRPr="009C0361">
        <w:rPr>
          <w:b/>
          <w:szCs w:val="28"/>
          <w:lang w:val="en-US"/>
        </w:rPr>
        <w:t>II</w:t>
      </w:r>
      <w:r w:rsidR="00D53CC1" w:rsidRPr="009C0361">
        <w:rPr>
          <w:b/>
          <w:szCs w:val="28"/>
          <w:lang w:val="en-US"/>
        </w:rPr>
        <w:t>I</w:t>
      </w:r>
      <w:r w:rsidRPr="009C0361">
        <w:rPr>
          <w:b/>
          <w:szCs w:val="28"/>
        </w:rPr>
        <w:t xml:space="preserve"> повестки дня заседания: </w:t>
      </w:r>
    </w:p>
    <w:p w:rsidR="00CF392C" w:rsidRPr="009C0361" w:rsidRDefault="00CF392C" w:rsidP="00FC00F7">
      <w:pPr>
        <w:pStyle w:val="Default"/>
        <w:numPr>
          <w:ilvl w:val="0"/>
          <w:numId w:val="12"/>
        </w:numPr>
        <w:ind w:left="0" w:firstLine="709"/>
        <w:jc w:val="both"/>
        <w:rPr>
          <w:b/>
          <w:iCs/>
          <w:color w:val="auto"/>
          <w:sz w:val="28"/>
          <w:szCs w:val="28"/>
        </w:rPr>
      </w:pPr>
      <w:r w:rsidRPr="009C0361">
        <w:rPr>
          <w:sz w:val="28"/>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                  </w:t>
      </w:r>
      <w:r w:rsidRPr="009C0361">
        <w:rPr>
          <w:color w:val="auto"/>
          <w:sz w:val="28"/>
          <w:szCs w:val="28"/>
          <w:lang w:val="en-US"/>
        </w:rPr>
        <w:t>Bloomberg</w:t>
      </w:r>
      <w:r w:rsidRPr="009C0361">
        <w:rPr>
          <w:color w:val="auto"/>
          <w:sz w:val="28"/>
          <w:szCs w:val="28"/>
        </w:rPr>
        <w:t xml:space="preserve"> </w:t>
      </w:r>
      <w:r w:rsidRPr="009C0361">
        <w:rPr>
          <w:color w:val="auto"/>
          <w:sz w:val="28"/>
          <w:szCs w:val="28"/>
          <w:lang w:val="en-US"/>
        </w:rPr>
        <w:t>Finance</w:t>
      </w:r>
      <w:r w:rsidRPr="009C0361">
        <w:rPr>
          <w:color w:val="auto"/>
          <w:sz w:val="28"/>
          <w:szCs w:val="28"/>
        </w:rPr>
        <w:t xml:space="preserve"> </w:t>
      </w:r>
      <w:r w:rsidRPr="009C0361">
        <w:rPr>
          <w:color w:val="auto"/>
          <w:sz w:val="28"/>
          <w:szCs w:val="28"/>
          <w:lang w:val="en-US"/>
        </w:rPr>
        <w:t>L</w:t>
      </w:r>
      <w:r w:rsidRPr="009C0361">
        <w:rPr>
          <w:color w:val="auto"/>
          <w:sz w:val="28"/>
          <w:szCs w:val="28"/>
        </w:rPr>
        <w:t>.</w:t>
      </w:r>
      <w:r w:rsidRPr="009C0361">
        <w:rPr>
          <w:color w:val="auto"/>
          <w:sz w:val="28"/>
          <w:szCs w:val="28"/>
          <w:lang w:val="en-US"/>
        </w:rPr>
        <w:t>P</w:t>
      </w:r>
      <w:r w:rsidRPr="009C0361">
        <w:rPr>
          <w:color w:val="auto"/>
          <w:sz w:val="28"/>
          <w:szCs w:val="28"/>
        </w:rPr>
        <w:t>.</w:t>
      </w:r>
      <w:r w:rsidRPr="009C0361">
        <w:rPr>
          <w:sz w:val="28"/>
          <w:szCs w:val="28"/>
        </w:rPr>
        <w:t xml:space="preserve">  на следующих условиях:</w:t>
      </w:r>
    </w:p>
    <w:p w:rsidR="00CF392C" w:rsidRPr="009C0361" w:rsidRDefault="00CF392C" w:rsidP="00A06A14">
      <w:pPr>
        <w:ind w:firstLine="708"/>
        <w:jc w:val="both"/>
        <w:rPr>
          <w:snapToGrid w:val="0"/>
        </w:rPr>
      </w:pPr>
      <w:r w:rsidRPr="009C0361">
        <w:rPr>
          <w:b/>
          <w:snapToGrid w:val="0"/>
          <w:szCs w:val="28"/>
        </w:rPr>
        <w:lastRenderedPageBreak/>
        <w:t xml:space="preserve">Предмет Заказа: </w:t>
      </w:r>
      <w:r w:rsidRPr="009C0361">
        <w:rPr>
          <w:szCs w:val="28"/>
        </w:rPr>
        <w:t>Предоставление круглосуточного доступа к информационному сервису BLOOMBERG PROFESSIONAL® в соответствии с графиком предоставления услуг.</w:t>
      </w:r>
    </w:p>
    <w:p w:rsidR="00CF392C" w:rsidRPr="009C0361" w:rsidRDefault="00CF392C" w:rsidP="00CF392C">
      <w:pPr>
        <w:tabs>
          <w:tab w:val="left" w:pos="709"/>
        </w:tabs>
        <w:ind w:firstLine="709"/>
        <w:jc w:val="both"/>
        <w:rPr>
          <w:snapToGrid w:val="0"/>
          <w:szCs w:val="28"/>
        </w:rPr>
      </w:pPr>
      <w:r w:rsidRPr="009C0361">
        <w:rPr>
          <w:b/>
          <w:snapToGrid w:val="0"/>
          <w:szCs w:val="28"/>
        </w:rPr>
        <w:t>Количество (Объем)</w:t>
      </w:r>
      <w:r w:rsidRPr="009C0361">
        <w:rPr>
          <w:snapToGrid w:val="0"/>
          <w:szCs w:val="28"/>
        </w:rPr>
        <w:t xml:space="preserve">: </w:t>
      </w:r>
      <w:r w:rsidR="00A06A14" w:rsidRPr="009C0361">
        <w:t xml:space="preserve">в соответствии с договором компания </w:t>
      </w:r>
      <w:r w:rsidR="00A06A14" w:rsidRPr="009C0361">
        <w:rPr>
          <w:lang w:val="en-US"/>
        </w:rPr>
        <w:t>Bloomberg</w:t>
      </w:r>
      <w:r w:rsidR="00A06A14" w:rsidRPr="009C0361">
        <w:t xml:space="preserve"> предоставляет электронный доступ к сервису 24 часа в сутки 7 дней в неделю.</w:t>
      </w:r>
    </w:p>
    <w:p w:rsidR="00CF392C" w:rsidRPr="009C0361" w:rsidRDefault="00CF392C" w:rsidP="00CF392C">
      <w:pPr>
        <w:tabs>
          <w:tab w:val="left" w:pos="0"/>
        </w:tabs>
        <w:ind w:firstLine="709"/>
        <w:jc w:val="both"/>
        <w:rPr>
          <w:snapToGrid w:val="0"/>
          <w:szCs w:val="28"/>
        </w:rPr>
      </w:pPr>
      <w:r w:rsidRPr="009C0361">
        <w:rPr>
          <w:b/>
          <w:snapToGrid w:val="0"/>
          <w:szCs w:val="28"/>
        </w:rPr>
        <w:t>Требования к услугам:</w:t>
      </w:r>
      <w:r w:rsidR="00A06A14" w:rsidRPr="009C0361">
        <w:rPr>
          <w:b/>
          <w:snapToGrid w:val="0"/>
          <w:szCs w:val="28"/>
        </w:rPr>
        <w:t xml:space="preserve"> </w:t>
      </w:r>
      <w:r w:rsidR="00A06A14" w:rsidRPr="009C0361">
        <w:t xml:space="preserve">предоставление информационного сервиса, обеспечивающего возможность мониторинга валютных курсов на постоянной основе для своевременного обеспечения информацией заинтересованных подразделений ОАО «ТрансКонтейнер». </w:t>
      </w:r>
      <w:r w:rsidR="00A06A14" w:rsidRPr="009C0361">
        <w:rPr>
          <w:szCs w:val="28"/>
        </w:rPr>
        <w:t>Высокая надежность, высокая репутация и максимально широкий круг пользователей (как по численности, так и по характеру деятельности) из числа участников фондового рынка</w:t>
      </w:r>
      <w:r w:rsidR="00BB3753">
        <w:rPr>
          <w:szCs w:val="28"/>
        </w:rPr>
        <w:t>.</w:t>
      </w:r>
    </w:p>
    <w:p w:rsidR="00CF392C" w:rsidRPr="009C0361" w:rsidRDefault="00CF392C" w:rsidP="00CF392C">
      <w:pPr>
        <w:tabs>
          <w:tab w:val="left" w:pos="709"/>
        </w:tabs>
        <w:ind w:firstLine="709"/>
        <w:jc w:val="both"/>
        <w:rPr>
          <w:snapToGrid w:val="0"/>
          <w:color w:val="000000"/>
          <w:szCs w:val="28"/>
        </w:rPr>
      </w:pPr>
      <w:r w:rsidRPr="009C0361">
        <w:rPr>
          <w:b/>
          <w:snapToGrid w:val="0"/>
          <w:szCs w:val="28"/>
        </w:rPr>
        <w:t xml:space="preserve">Максимальная цена </w:t>
      </w:r>
      <w:r w:rsidR="00201F48" w:rsidRPr="009C0361">
        <w:rPr>
          <w:b/>
          <w:snapToGrid w:val="0"/>
          <w:szCs w:val="28"/>
        </w:rPr>
        <w:t>сделки</w:t>
      </w:r>
      <w:r w:rsidRPr="009C0361">
        <w:rPr>
          <w:b/>
          <w:snapToGrid w:val="0"/>
          <w:szCs w:val="28"/>
        </w:rPr>
        <w:t xml:space="preserve">: </w:t>
      </w:r>
      <w:r w:rsidR="00A06A14" w:rsidRPr="009C0361">
        <w:t xml:space="preserve">рассчитывается исходя из ежемесячной стоимости услуг в размере </w:t>
      </w:r>
      <w:r w:rsidR="00A06A14" w:rsidRPr="009C0361">
        <w:rPr>
          <w:bCs/>
          <w:spacing w:val="-5"/>
        </w:rPr>
        <w:t>1750 (одна тысяча семьсот пятьдесят)</w:t>
      </w:r>
      <w:r w:rsidR="00A06A14" w:rsidRPr="009C0361">
        <w:t xml:space="preserve"> долларов США, что ориентировочно составит 724 500 (семьсот двадцать четыре тысячи пятьсот) рублей в год (без учета налогов), и стоимостью дополнительных услуг, предоставляемых компанией </w:t>
      </w:r>
      <w:r w:rsidR="00A06A14" w:rsidRPr="009C0361">
        <w:rPr>
          <w:lang w:val="en-US"/>
        </w:rPr>
        <w:t>Bloomberg</w:t>
      </w:r>
      <w:r w:rsidR="00A06A14" w:rsidRPr="009C0361">
        <w:t>,</w:t>
      </w:r>
      <w:r w:rsidR="00201F48" w:rsidRPr="009C0361">
        <w:t xml:space="preserve"> </w:t>
      </w:r>
      <w:r w:rsidR="00A06A14" w:rsidRPr="009C0361">
        <w:t>не превы</w:t>
      </w:r>
      <w:r w:rsidR="00201F48" w:rsidRPr="009C0361">
        <w:t>ш</w:t>
      </w:r>
      <w:r w:rsidR="00A06A14" w:rsidRPr="009C0361">
        <w:t>ающих  1 (один) миллион рублей в год.</w:t>
      </w:r>
    </w:p>
    <w:p w:rsidR="00201F48" w:rsidRPr="009C0361" w:rsidRDefault="00201F48" w:rsidP="00201F48">
      <w:pPr>
        <w:tabs>
          <w:tab w:val="num" w:pos="0"/>
          <w:tab w:val="num" w:pos="709"/>
        </w:tabs>
        <w:jc w:val="both"/>
        <w:rPr>
          <w:b/>
          <w:iCs/>
          <w:szCs w:val="28"/>
          <w:lang w:eastAsia="en-US"/>
        </w:rPr>
      </w:pPr>
      <w:r w:rsidRPr="009C0361">
        <w:rPr>
          <w:b/>
          <w:iCs/>
          <w:snapToGrid w:val="0"/>
          <w:szCs w:val="28"/>
        </w:rPr>
        <w:tab/>
      </w:r>
      <w:r w:rsidR="00CF392C" w:rsidRPr="009C0361">
        <w:rPr>
          <w:b/>
          <w:iCs/>
          <w:snapToGrid w:val="0"/>
          <w:szCs w:val="28"/>
        </w:rPr>
        <w:t>Порядок определения цены</w:t>
      </w:r>
      <w:r w:rsidR="00A06A14" w:rsidRPr="009C0361">
        <w:rPr>
          <w:b/>
          <w:iCs/>
          <w:szCs w:val="28"/>
        </w:rPr>
        <w:t xml:space="preserve"> за</w:t>
      </w:r>
      <w:r w:rsidR="00A06A14" w:rsidRPr="009C0361">
        <w:rPr>
          <w:iCs/>
          <w:szCs w:val="28"/>
        </w:rPr>
        <w:t xml:space="preserve"> </w:t>
      </w:r>
      <w:r w:rsidR="00A06A14" w:rsidRPr="009C0361">
        <w:rPr>
          <w:b/>
          <w:iCs/>
          <w:szCs w:val="28"/>
        </w:rPr>
        <w:t>услуги</w:t>
      </w:r>
      <w:r w:rsidR="00A06A14" w:rsidRPr="009C0361">
        <w:rPr>
          <w:iCs/>
          <w:szCs w:val="28"/>
        </w:rPr>
        <w:t xml:space="preserve">: </w:t>
      </w:r>
      <w:r w:rsidR="00A06A14" w:rsidRPr="009C0361">
        <w:rPr>
          <w:snapToGrid w:val="0"/>
        </w:rPr>
        <w:t xml:space="preserve">цена за услуги установлена поставщиком </w:t>
      </w:r>
      <w:r w:rsidR="00A06A14" w:rsidRPr="009C0361">
        <w:rPr>
          <w:szCs w:val="28"/>
        </w:rPr>
        <w:t>в соответствии с графиком предоставления услуг.</w:t>
      </w:r>
      <w:r w:rsidR="00CF392C" w:rsidRPr="009C0361">
        <w:rPr>
          <w:b/>
          <w:iCs/>
          <w:szCs w:val="28"/>
          <w:lang w:eastAsia="en-US"/>
        </w:rPr>
        <w:tab/>
      </w:r>
    </w:p>
    <w:p w:rsidR="00CF392C" w:rsidRPr="009C0361" w:rsidRDefault="00201F48" w:rsidP="00201F48">
      <w:pPr>
        <w:tabs>
          <w:tab w:val="num" w:pos="0"/>
          <w:tab w:val="num" w:pos="709"/>
        </w:tabs>
        <w:jc w:val="both"/>
        <w:rPr>
          <w:color w:val="000000"/>
          <w:szCs w:val="28"/>
          <w:lang w:eastAsia="en-US"/>
        </w:rPr>
      </w:pPr>
      <w:r w:rsidRPr="009C0361">
        <w:rPr>
          <w:b/>
          <w:iCs/>
          <w:szCs w:val="28"/>
          <w:lang w:eastAsia="en-US"/>
        </w:rPr>
        <w:tab/>
      </w:r>
      <w:r w:rsidR="00CF392C" w:rsidRPr="009C0361">
        <w:rPr>
          <w:b/>
          <w:iCs/>
          <w:szCs w:val="28"/>
          <w:lang w:eastAsia="en-US"/>
        </w:rPr>
        <w:t>Форма, сроки и порядок оплаты</w:t>
      </w:r>
      <w:r w:rsidR="00A06A14" w:rsidRPr="009C0361">
        <w:rPr>
          <w:b/>
          <w:iCs/>
          <w:szCs w:val="28"/>
          <w:lang w:eastAsia="en-US"/>
        </w:rPr>
        <w:t xml:space="preserve"> услуг</w:t>
      </w:r>
      <w:r w:rsidR="00CF392C" w:rsidRPr="009C0361">
        <w:rPr>
          <w:b/>
          <w:iCs/>
          <w:szCs w:val="28"/>
          <w:lang w:eastAsia="en-US"/>
        </w:rPr>
        <w:t xml:space="preserve">: </w:t>
      </w:r>
      <w:r w:rsidR="00A06A14" w:rsidRPr="009C0361">
        <w:rPr>
          <w:iCs/>
          <w:szCs w:val="28"/>
        </w:rPr>
        <w:t>заказчик оплачивает услуги на основании выставленных поставщиком ежеквартальных авансовых счетов.</w:t>
      </w:r>
      <w:r w:rsidRPr="009C0361">
        <w:rPr>
          <w:b/>
          <w:color w:val="000000"/>
          <w:szCs w:val="28"/>
          <w:lang w:eastAsia="en-US"/>
        </w:rPr>
        <w:tab/>
      </w:r>
      <w:r w:rsidR="00CF392C" w:rsidRPr="009C0361">
        <w:rPr>
          <w:b/>
          <w:color w:val="000000"/>
          <w:szCs w:val="28"/>
          <w:lang w:eastAsia="en-US"/>
        </w:rPr>
        <w:t xml:space="preserve">Срок действия </w:t>
      </w:r>
      <w:r w:rsidRPr="009C0361">
        <w:rPr>
          <w:b/>
          <w:color w:val="000000"/>
          <w:szCs w:val="28"/>
          <w:lang w:eastAsia="en-US"/>
        </w:rPr>
        <w:t>сделки</w:t>
      </w:r>
      <w:r w:rsidR="00CF392C" w:rsidRPr="009C0361">
        <w:rPr>
          <w:b/>
          <w:color w:val="000000"/>
          <w:szCs w:val="28"/>
          <w:lang w:eastAsia="en-US"/>
        </w:rPr>
        <w:t>:</w:t>
      </w:r>
      <w:r w:rsidR="00CF392C" w:rsidRPr="009C0361">
        <w:rPr>
          <w:color w:val="000000"/>
          <w:szCs w:val="28"/>
          <w:lang w:eastAsia="en-US"/>
        </w:rPr>
        <w:t xml:space="preserve"> </w:t>
      </w:r>
      <w:r w:rsidR="00A06A14" w:rsidRPr="009C0361">
        <w:rPr>
          <w:iCs/>
          <w:szCs w:val="28"/>
        </w:rPr>
        <w:t>2 года с даты заключения.</w:t>
      </w:r>
    </w:p>
    <w:p w:rsidR="00CF392C" w:rsidRPr="009C0361" w:rsidRDefault="00201F48" w:rsidP="00201F48">
      <w:pPr>
        <w:tabs>
          <w:tab w:val="left" w:pos="709"/>
        </w:tabs>
        <w:jc w:val="both"/>
        <w:rPr>
          <w:snapToGrid w:val="0"/>
          <w:szCs w:val="28"/>
        </w:rPr>
      </w:pPr>
      <w:r w:rsidRPr="009C0361">
        <w:rPr>
          <w:b/>
          <w:iCs/>
          <w:snapToGrid w:val="0"/>
          <w:szCs w:val="28"/>
        </w:rPr>
        <w:tab/>
      </w:r>
      <w:r w:rsidR="00CF392C" w:rsidRPr="009C0361">
        <w:rPr>
          <w:b/>
          <w:iCs/>
          <w:snapToGrid w:val="0"/>
          <w:szCs w:val="28"/>
        </w:rPr>
        <w:t xml:space="preserve">Место оказания услуг: </w:t>
      </w:r>
      <w:r w:rsidR="00A06A14" w:rsidRPr="009C0361">
        <w:t>125047, Москва, Оружейный переулок, д. 19</w:t>
      </w:r>
    </w:p>
    <w:p w:rsidR="00BB3753" w:rsidRPr="00BB3753" w:rsidRDefault="00CF392C" w:rsidP="00FC00F7">
      <w:pPr>
        <w:pStyle w:val="ad"/>
        <w:numPr>
          <w:ilvl w:val="0"/>
          <w:numId w:val="12"/>
        </w:numPr>
        <w:ind w:left="0" w:firstLine="709"/>
        <w:jc w:val="both"/>
        <w:rPr>
          <w:szCs w:val="28"/>
        </w:rPr>
      </w:pPr>
      <w:r w:rsidRPr="00BB3753">
        <w:rPr>
          <w:szCs w:val="28"/>
        </w:rPr>
        <w:t xml:space="preserve">Поручить начальнику отдела </w:t>
      </w:r>
      <w:r w:rsidR="00A06A14" w:rsidRPr="00BB3753">
        <w:rPr>
          <w:szCs w:val="28"/>
        </w:rPr>
        <w:t>корпоративных финансов и управления рисками</w:t>
      </w:r>
      <w:r w:rsidRPr="00BB3753">
        <w:rPr>
          <w:szCs w:val="28"/>
        </w:rPr>
        <w:t xml:space="preserve"> (ЦК</w:t>
      </w:r>
      <w:r w:rsidR="00A06A14" w:rsidRPr="00BB3753">
        <w:rPr>
          <w:szCs w:val="28"/>
        </w:rPr>
        <w:t>ПФР</w:t>
      </w:r>
      <w:r w:rsidRPr="00BB3753">
        <w:rPr>
          <w:szCs w:val="28"/>
        </w:rPr>
        <w:t>)</w:t>
      </w:r>
      <w:r w:rsidR="00201F48" w:rsidRPr="00BB3753">
        <w:rPr>
          <w:szCs w:val="28"/>
        </w:rPr>
        <w:t xml:space="preserve"> </w:t>
      </w:r>
      <w:r w:rsidRPr="00BB3753">
        <w:rPr>
          <w:szCs w:val="28"/>
        </w:rPr>
        <w:t xml:space="preserve"> </w:t>
      </w:r>
      <w:r w:rsidR="00A06A14" w:rsidRPr="00BB3753">
        <w:rPr>
          <w:szCs w:val="28"/>
        </w:rPr>
        <w:t>Соколову А.В.</w:t>
      </w:r>
      <w:r w:rsidR="00BB3753" w:rsidRPr="00BB3753">
        <w:rPr>
          <w:szCs w:val="28"/>
        </w:rPr>
        <w:t>:</w:t>
      </w:r>
    </w:p>
    <w:p w:rsidR="00CF392C" w:rsidRPr="00BB3753" w:rsidRDefault="00CF392C" w:rsidP="00FC00F7">
      <w:pPr>
        <w:pStyle w:val="ad"/>
        <w:numPr>
          <w:ilvl w:val="1"/>
          <w:numId w:val="12"/>
        </w:numPr>
        <w:ind w:left="0" w:firstLine="709"/>
        <w:jc w:val="both"/>
        <w:rPr>
          <w:szCs w:val="28"/>
        </w:rPr>
      </w:pPr>
      <w:r w:rsidRPr="00BB3753">
        <w:rPr>
          <w:szCs w:val="28"/>
        </w:rPr>
        <w:t xml:space="preserve">обеспечить установленным порядком заключение </w:t>
      </w:r>
      <w:r w:rsidR="00201F48" w:rsidRPr="00BB3753">
        <w:rPr>
          <w:szCs w:val="28"/>
        </w:rPr>
        <w:t xml:space="preserve">сделки </w:t>
      </w:r>
      <w:r w:rsidRPr="00BB3753">
        <w:rPr>
          <w:szCs w:val="28"/>
        </w:rPr>
        <w:t>с</w:t>
      </w:r>
      <w:r w:rsidR="00201F48" w:rsidRPr="00BB3753">
        <w:rPr>
          <w:szCs w:val="28"/>
        </w:rPr>
        <w:t xml:space="preserve"> </w:t>
      </w:r>
      <w:r w:rsidR="00A06A14" w:rsidRPr="00BB3753">
        <w:rPr>
          <w:szCs w:val="28"/>
          <w:lang w:val="en-US"/>
        </w:rPr>
        <w:t>Bloomberg</w:t>
      </w:r>
      <w:r w:rsidR="00A06A14" w:rsidRPr="00BB3753">
        <w:rPr>
          <w:szCs w:val="28"/>
        </w:rPr>
        <w:t xml:space="preserve"> </w:t>
      </w:r>
      <w:r w:rsidR="00A06A14" w:rsidRPr="00BB3753">
        <w:rPr>
          <w:szCs w:val="28"/>
          <w:lang w:val="en-US"/>
        </w:rPr>
        <w:t>Finance</w:t>
      </w:r>
      <w:r w:rsidR="00A06A14" w:rsidRPr="00BB3753">
        <w:rPr>
          <w:szCs w:val="28"/>
        </w:rPr>
        <w:t xml:space="preserve"> </w:t>
      </w:r>
      <w:r w:rsidR="00A06A14" w:rsidRPr="00BB3753">
        <w:rPr>
          <w:szCs w:val="28"/>
          <w:lang w:val="en-US"/>
        </w:rPr>
        <w:t>L</w:t>
      </w:r>
      <w:r w:rsidR="00A06A14" w:rsidRPr="00BB3753">
        <w:rPr>
          <w:szCs w:val="28"/>
        </w:rPr>
        <w:t>.</w:t>
      </w:r>
      <w:r w:rsidR="00A06A14" w:rsidRPr="00BB3753">
        <w:rPr>
          <w:szCs w:val="28"/>
          <w:lang w:val="en-US"/>
        </w:rPr>
        <w:t>P</w:t>
      </w:r>
      <w:r w:rsidR="00BB3753" w:rsidRPr="00BB3753">
        <w:rPr>
          <w:szCs w:val="28"/>
        </w:rPr>
        <w:t>;</w:t>
      </w:r>
    </w:p>
    <w:p w:rsidR="00BB3753" w:rsidRPr="008F7BEF" w:rsidRDefault="00BB3753" w:rsidP="00FC00F7">
      <w:pPr>
        <w:pStyle w:val="ad"/>
        <w:numPr>
          <w:ilvl w:val="1"/>
          <w:numId w:val="12"/>
        </w:numPr>
        <w:ind w:left="0" w:firstLine="709"/>
        <w:jc w:val="both"/>
        <w:rPr>
          <w:szCs w:val="28"/>
        </w:rPr>
      </w:pPr>
      <w:r w:rsidRPr="008F7BEF">
        <w:rPr>
          <w:szCs w:val="28"/>
        </w:rPr>
        <w:t>провести дополнительные конкурсные процедуры до</w:t>
      </w:r>
      <w:r w:rsidR="00E857D8">
        <w:rPr>
          <w:szCs w:val="28"/>
        </w:rPr>
        <w:t xml:space="preserve"> истечения срока действия </w:t>
      </w:r>
      <w:r w:rsidR="004F1F09">
        <w:rPr>
          <w:szCs w:val="28"/>
        </w:rPr>
        <w:t>сделки</w:t>
      </w:r>
      <w:r w:rsidR="00E857D8">
        <w:rPr>
          <w:szCs w:val="28"/>
        </w:rPr>
        <w:t>, при необходимости новой закупки</w:t>
      </w:r>
      <w:r w:rsidR="008F7BEF" w:rsidRPr="008F7BEF">
        <w:rPr>
          <w:szCs w:val="28"/>
        </w:rPr>
        <w:t>.</w:t>
      </w:r>
    </w:p>
    <w:p w:rsidR="00601757" w:rsidRPr="009C0361" w:rsidRDefault="00601757" w:rsidP="00A06A14">
      <w:pPr>
        <w:tabs>
          <w:tab w:val="left" w:pos="0"/>
        </w:tabs>
        <w:suppressAutoHyphens/>
        <w:jc w:val="both"/>
      </w:pPr>
    </w:p>
    <w:p w:rsidR="007806A7" w:rsidRPr="009C0361" w:rsidRDefault="007806A7" w:rsidP="00A06A14">
      <w:pPr>
        <w:tabs>
          <w:tab w:val="left" w:pos="0"/>
        </w:tabs>
        <w:suppressAutoHyphens/>
        <w:jc w:val="both"/>
      </w:pPr>
    </w:p>
    <w:p w:rsidR="000E1C23" w:rsidRPr="009C0361" w:rsidRDefault="00CE28ED" w:rsidP="00D92CF1">
      <w:pPr>
        <w:pStyle w:val="ad"/>
        <w:ind w:left="709"/>
        <w:jc w:val="both"/>
        <w:rPr>
          <w:b/>
          <w:szCs w:val="28"/>
        </w:rPr>
      </w:pPr>
      <w:r>
        <w:rPr>
          <w:b/>
          <w:szCs w:val="28"/>
        </w:rPr>
        <w:t>….</w:t>
      </w:r>
      <w:bookmarkStart w:id="0" w:name="_GoBack"/>
      <w:bookmarkEnd w:id="0"/>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2A1FC1">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2A1FC1">
            <w:pPr>
              <w:pStyle w:val="a6"/>
              <w:tabs>
                <w:tab w:val="left" w:pos="0"/>
              </w:tabs>
            </w:pPr>
            <w:r w:rsidRPr="009C0361">
              <w:rPr>
                <w:i w:val="0"/>
              </w:rPr>
              <w:t>«</w:t>
            </w:r>
            <w:r w:rsidR="002A1FC1">
              <w:rPr>
                <w:i w:val="0"/>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2A1FC1">
            <w:pPr>
              <w:jc w:val="right"/>
              <w:rPr>
                <w:szCs w:val="28"/>
              </w:rPr>
            </w:pPr>
          </w:p>
        </w:tc>
      </w:tr>
    </w:tbl>
    <w:p w:rsidR="007806A7" w:rsidRPr="009C0361" w:rsidRDefault="007806A7" w:rsidP="00D24F36">
      <w:pPr>
        <w:tabs>
          <w:tab w:val="left" w:pos="284"/>
          <w:tab w:val="center" w:pos="4680"/>
          <w:tab w:val="right" w:pos="9355"/>
          <w:tab w:val="left" w:pos="9639"/>
        </w:tabs>
        <w:rPr>
          <w:szCs w:val="28"/>
        </w:rPr>
      </w:pPr>
    </w:p>
    <w:sectPr w:rsidR="007806A7" w:rsidRPr="009C0361" w:rsidSect="00D24F36">
      <w:headerReference w:type="default" r:id="rId10"/>
      <w:pgSz w:w="11906" w:h="16838"/>
      <w:pgMar w:top="568"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CE28ED">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E4006734"/>
    <w:lvl w:ilvl="0" w:tplc="436A908C">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1FC1"/>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28ED"/>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29F9-3069-49C6-95DB-1CF37324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2631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2014-07-15T07:01:00Z</cp:lastPrinted>
  <dcterms:created xsi:type="dcterms:W3CDTF">2014-07-21T09:46:00Z</dcterms:created>
  <dcterms:modified xsi:type="dcterms:W3CDTF">2014-07-21T09:46:00Z</dcterms:modified>
</cp:coreProperties>
</file>