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691D31" w:rsidRDefault="00C375C3" w:rsidP="00691D31">
      <w:pPr>
        <w:ind w:firstLine="0"/>
        <w:jc w:val="center"/>
        <w:rPr>
          <w:b/>
          <w:sz w:val="32"/>
          <w:szCs w:val="32"/>
        </w:rPr>
      </w:pPr>
      <w:r w:rsidRPr="00691D31">
        <w:rPr>
          <w:b/>
          <w:sz w:val="32"/>
          <w:szCs w:val="32"/>
        </w:rPr>
        <w:t xml:space="preserve">№ </w:t>
      </w:r>
      <w:r w:rsidR="00691D31" w:rsidRPr="00691D31">
        <w:rPr>
          <w:b/>
          <w:snapToGrid/>
          <w:color w:val="000000"/>
          <w:sz w:val="32"/>
          <w:szCs w:val="32"/>
        </w:rPr>
        <w:t>ОК/030/ЦКПРАС/0095</w:t>
      </w:r>
    </w:p>
    <w:p w:rsidR="00691D31" w:rsidRDefault="00691D31" w:rsidP="00662448">
      <w:pPr>
        <w:pStyle w:val="1"/>
        <w:suppressAutoHyphens/>
        <w:rPr>
          <w:b/>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1C5A7E" w:rsidRDefault="00BC29CF" w:rsidP="00691D31">
      <w:pPr>
        <w:jc w:val="both"/>
        <w:rPr>
          <w:szCs w:val="28"/>
        </w:rPr>
      </w:pPr>
      <w:r w:rsidRPr="00691D31">
        <w:rPr>
          <w:szCs w:val="28"/>
        </w:rPr>
        <w:t>О</w:t>
      </w:r>
      <w:r w:rsidR="00C64E36" w:rsidRPr="00691D31">
        <w:rPr>
          <w:szCs w:val="28"/>
        </w:rPr>
        <w:t>ткрытый конкурс</w:t>
      </w:r>
      <w:r w:rsidRPr="00691D31">
        <w:rPr>
          <w:szCs w:val="28"/>
        </w:rPr>
        <w:t xml:space="preserve"> </w:t>
      </w:r>
      <w:r w:rsidR="00691D31" w:rsidRPr="00691D31">
        <w:rPr>
          <w:szCs w:val="28"/>
        </w:rPr>
        <w:t xml:space="preserve">№ </w:t>
      </w:r>
      <w:r w:rsidR="00691D31" w:rsidRPr="00691D31">
        <w:rPr>
          <w:snapToGrid/>
          <w:color w:val="000000"/>
          <w:szCs w:val="28"/>
        </w:rPr>
        <w:t>ОК/030/ЦКПРАС/0095</w:t>
      </w:r>
      <w:r w:rsidR="00C64E36" w:rsidRPr="00691D31">
        <w:rPr>
          <w:szCs w:val="28"/>
        </w:rPr>
        <w:t xml:space="preserve"> на право заключения договора</w:t>
      </w:r>
      <w:r w:rsidR="00C64E36" w:rsidRPr="00C64E36">
        <w:rPr>
          <w:szCs w:val="28"/>
        </w:rPr>
        <w:t xml:space="preserve"> </w:t>
      </w:r>
      <w:r w:rsidR="00C64E36" w:rsidRPr="00C64E36">
        <w:t xml:space="preserve">на </w:t>
      </w:r>
      <w:r w:rsidR="00AB7261">
        <w:rPr>
          <w:szCs w:val="28"/>
        </w:rPr>
        <w:t>р</w:t>
      </w:r>
      <w:r w:rsidR="00AB7261" w:rsidRPr="00AB7261">
        <w:rPr>
          <w:szCs w:val="28"/>
        </w:rPr>
        <w:t>азработк</w:t>
      </w:r>
      <w:r w:rsidR="00AB7261">
        <w:rPr>
          <w:szCs w:val="28"/>
        </w:rPr>
        <w:t>у</w:t>
      </w:r>
      <w:r w:rsidR="00AB7261" w:rsidRPr="00AB7261">
        <w:rPr>
          <w:szCs w:val="28"/>
        </w:rPr>
        <w:t xml:space="preserve"> и внедрение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AB7261" w:rsidRPr="00AB7261">
        <w:rPr>
          <w:szCs w:val="28"/>
        </w:rPr>
        <w:t>ТрансКонтейнер</w:t>
      </w:r>
      <w:proofErr w:type="spellEnd"/>
      <w:r w:rsidR="00AB7261" w:rsidRPr="00AB7261">
        <w:rPr>
          <w:szCs w:val="28"/>
        </w:rPr>
        <w:t>»</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Адрес электронной почты: LukinVB@trcont.ru</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100C1" w:rsidRPr="00CB2E96" w:rsidRDefault="000100C1" w:rsidP="000100C1">
      <w:pPr>
        <w:pStyle w:val="1"/>
        <w:ind w:firstLine="708"/>
        <w:rPr>
          <w:szCs w:val="28"/>
        </w:rPr>
      </w:pPr>
      <w:r w:rsidRPr="00CB2E96">
        <w:rPr>
          <w:szCs w:val="28"/>
        </w:rPr>
        <w:t>Титков Сергей Николаевич, тел. +7 (495)</w:t>
      </w:r>
      <w:r w:rsidRPr="00CB2E96">
        <w:rPr>
          <w:szCs w:val="28"/>
          <w:lang w:eastAsia="en-US"/>
        </w:rPr>
        <w:t xml:space="preserve"> 788-1717 </w:t>
      </w:r>
      <w:proofErr w:type="spellStart"/>
      <w:r w:rsidRPr="00CB2E96">
        <w:rPr>
          <w:szCs w:val="28"/>
          <w:lang w:eastAsia="en-US"/>
        </w:rPr>
        <w:t>доб</w:t>
      </w:r>
      <w:proofErr w:type="spellEnd"/>
      <w:r w:rsidRPr="00CB2E96">
        <w:rPr>
          <w:szCs w:val="28"/>
          <w:lang w:eastAsia="en-US"/>
        </w:rPr>
        <w:t>.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40789" w:rsidRDefault="00124964" w:rsidP="002C0F1D">
      <w:pPr>
        <w:jc w:val="both"/>
        <w:rPr>
          <w:rFonts w:eastAsia="Arial"/>
          <w:szCs w:val="28"/>
        </w:rPr>
      </w:pPr>
      <w:r w:rsidRPr="00AC0842">
        <w:rPr>
          <w:szCs w:val="28"/>
        </w:rPr>
        <w:t xml:space="preserve">Предмет договора: </w:t>
      </w:r>
      <w:bookmarkStart w:id="0" w:name="_GoBack"/>
      <w:bookmarkEnd w:id="0"/>
      <w:r w:rsidR="00AB7261" w:rsidRPr="00AB7261">
        <w:rPr>
          <w:szCs w:val="28"/>
        </w:rPr>
        <w:t>Разработка и внедрение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AB7261" w:rsidRPr="00AB7261">
        <w:rPr>
          <w:szCs w:val="28"/>
        </w:rPr>
        <w:t>ТрансКонтейнер</w:t>
      </w:r>
      <w:proofErr w:type="spellEnd"/>
      <w:r w:rsidR="00AB7261" w:rsidRPr="00AB7261">
        <w:rPr>
          <w:szCs w:val="28"/>
        </w:rPr>
        <w:t>»</w:t>
      </w:r>
      <w:r w:rsidR="00A40789">
        <w:rPr>
          <w:rFonts w:eastAsia="Arial"/>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B92421">
        <w:rPr>
          <w:szCs w:val="28"/>
        </w:rPr>
        <w:t>о</w:t>
      </w:r>
      <w:r w:rsidR="001B5D6F">
        <w:rPr>
          <w:szCs w:val="28"/>
        </w:rPr>
        <w:t>бщая стоимость р</w:t>
      </w:r>
      <w:r w:rsidR="00B92421" w:rsidRPr="006924DA">
        <w:rPr>
          <w:szCs w:val="28"/>
        </w:rPr>
        <w:t xml:space="preserve">абот по </w:t>
      </w:r>
      <w:r w:rsidR="001B5D6F">
        <w:rPr>
          <w:szCs w:val="28"/>
        </w:rPr>
        <w:t>д</w:t>
      </w:r>
      <w:r w:rsidR="00B92421" w:rsidRPr="006924DA">
        <w:rPr>
          <w:szCs w:val="28"/>
        </w:rPr>
        <w:t xml:space="preserve">оговору не может превышать </w:t>
      </w:r>
      <w:r w:rsidR="00AB7261">
        <w:rPr>
          <w:szCs w:val="28"/>
        </w:rPr>
        <w:t>4</w:t>
      </w:r>
      <w:r w:rsidR="00B92421" w:rsidRPr="006924DA">
        <w:rPr>
          <w:szCs w:val="28"/>
        </w:rPr>
        <w:t> </w:t>
      </w:r>
      <w:r w:rsidR="00AB7261">
        <w:rPr>
          <w:szCs w:val="28"/>
        </w:rPr>
        <w:t>5</w:t>
      </w:r>
      <w:r w:rsidR="00B92421">
        <w:rPr>
          <w:szCs w:val="28"/>
        </w:rPr>
        <w:t>00</w:t>
      </w:r>
      <w:r w:rsidR="00B92421" w:rsidRPr="006924DA">
        <w:rPr>
          <w:szCs w:val="28"/>
        </w:rPr>
        <w:t> 000 (</w:t>
      </w:r>
      <w:r w:rsidR="00AB7261">
        <w:rPr>
          <w:szCs w:val="28"/>
        </w:rPr>
        <w:t>четыре миллиона пятьсот тысяч</w:t>
      </w:r>
      <w:r w:rsidR="00B92421" w:rsidRPr="006924DA">
        <w:rPr>
          <w:szCs w:val="28"/>
        </w:rPr>
        <w:t>) рублей 00 копеек</w:t>
      </w:r>
      <w:r w:rsidR="00B92421" w:rsidDel="00B92421">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797AD2" w:rsidP="00AB7261">
            <w:pPr>
              <w:ind w:firstLine="0"/>
              <w:jc w:val="center"/>
              <w:rPr>
                <w:sz w:val="24"/>
                <w:szCs w:val="24"/>
              </w:rPr>
            </w:pPr>
            <w:r w:rsidRPr="00797AD2">
              <w:rPr>
                <w:sz w:val="24"/>
                <w:szCs w:val="24"/>
              </w:rPr>
              <w:t>Строка годового плана закупок № 1</w:t>
            </w:r>
            <w:r w:rsidR="00AB7261">
              <w:rPr>
                <w:sz w:val="24"/>
                <w:szCs w:val="24"/>
              </w:rPr>
              <w:t>43</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75AC3">
        <w:rPr>
          <w:szCs w:val="28"/>
        </w:rPr>
        <w:t>:</w:t>
      </w:r>
      <w:r w:rsidR="001B5D6F">
        <w:rPr>
          <w:szCs w:val="28"/>
        </w:rPr>
        <w:t xml:space="preserve"> </w:t>
      </w:r>
      <w:r w:rsidR="001E0D52" w:rsidRPr="00BD2C03">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8C7B27" w:rsidRDefault="002919BF"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691D31">
        <w:rPr>
          <w:szCs w:val="28"/>
        </w:rPr>
        <w:t>с</w:t>
      </w:r>
      <w:r w:rsidR="006E65EB" w:rsidRPr="00691D31">
        <w:rPr>
          <w:szCs w:val="28"/>
        </w:rPr>
        <w:t xml:space="preserve"> </w:t>
      </w:r>
      <w:r w:rsidR="00691D31" w:rsidRPr="00691D31">
        <w:rPr>
          <w:szCs w:val="28"/>
        </w:rPr>
        <w:t xml:space="preserve"> «24</w:t>
      </w:r>
      <w:r w:rsidR="00082A72" w:rsidRPr="00691D31">
        <w:rPr>
          <w:szCs w:val="28"/>
        </w:rPr>
        <w:t xml:space="preserve">» </w:t>
      </w:r>
      <w:r w:rsidR="00691D31" w:rsidRPr="00691D31">
        <w:rPr>
          <w:szCs w:val="28"/>
        </w:rPr>
        <w:t>сентября</w:t>
      </w:r>
      <w:r w:rsidR="00082A72" w:rsidRPr="00691D31">
        <w:rPr>
          <w:szCs w:val="28"/>
        </w:rPr>
        <w:t xml:space="preserve"> 201</w:t>
      </w:r>
      <w:r w:rsidR="003C58C8" w:rsidRPr="00691D31">
        <w:rPr>
          <w:szCs w:val="28"/>
        </w:rPr>
        <w:t>4</w:t>
      </w:r>
      <w:r w:rsidRPr="00691D31">
        <w:rPr>
          <w:szCs w:val="28"/>
        </w:rPr>
        <w:t xml:space="preserve"> г. </w:t>
      </w:r>
      <w:r w:rsidR="00082A72" w:rsidRPr="00691D31">
        <w:rPr>
          <w:szCs w:val="28"/>
        </w:rPr>
        <w:t>по «</w:t>
      </w:r>
      <w:r w:rsidR="00691D31" w:rsidRPr="00691D31">
        <w:rPr>
          <w:szCs w:val="28"/>
        </w:rPr>
        <w:t>14</w:t>
      </w:r>
      <w:r w:rsidR="00082A72" w:rsidRPr="00691D31">
        <w:rPr>
          <w:szCs w:val="28"/>
        </w:rPr>
        <w:t xml:space="preserve">» </w:t>
      </w:r>
      <w:r w:rsidR="00691D31" w:rsidRPr="00691D31">
        <w:rPr>
          <w:szCs w:val="28"/>
        </w:rPr>
        <w:t xml:space="preserve">октября </w:t>
      </w:r>
      <w:r w:rsidR="00082A72" w:rsidRPr="00691D31">
        <w:rPr>
          <w:szCs w:val="28"/>
        </w:rPr>
        <w:t>201</w:t>
      </w:r>
      <w:r w:rsidR="003C58C8" w:rsidRPr="00691D31">
        <w:rPr>
          <w:szCs w:val="28"/>
        </w:rPr>
        <w:t>4</w:t>
      </w:r>
      <w:r w:rsidRPr="00691D31">
        <w:rPr>
          <w:szCs w:val="28"/>
        </w:rPr>
        <w:t xml:space="preserve"> г.</w:t>
      </w:r>
      <w:r>
        <w:rPr>
          <w:szCs w:val="28"/>
        </w:rPr>
        <w:t xml:space="preserve"> </w:t>
      </w:r>
    </w:p>
    <w:p w:rsidR="00237904" w:rsidRPr="00B92421"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2919BF"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2919BF"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75AC3" w:rsidRPr="00691D31" w:rsidRDefault="00B75AC3" w:rsidP="00B75AC3">
      <w:pPr>
        <w:jc w:val="both"/>
        <w:rPr>
          <w:b/>
        </w:rPr>
      </w:pPr>
      <w:r>
        <w:tab/>
      </w:r>
      <w:r w:rsidR="00691D31" w:rsidRPr="00691D31">
        <w:rPr>
          <w:szCs w:val="28"/>
        </w:rPr>
        <w:t>«14</w:t>
      </w:r>
      <w:r w:rsidRPr="00691D31">
        <w:rPr>
          <w:szCs w:val="28"/>
        </w:rPr>
        <w:t xml:space="preserve">» </w:t>
      </w:r>
      <w:r w:rsidR="00691D31" w:rsidRPr="00691D31">
        <w:rPr>
          <w:szCs w:val="28"/>
        </w:rPr>
        <w:t>октября</w:t>
      </w:r>
      <w:r w:rsidRPr="00691D31">
        <w:rPr>
          <w:szCs w:val="28"/>
        </w:rPr>
        <w:t xml:space="preserve"> 2014 г.</w:t>
      </w:r>
      <w:r w:rsidRPr="00691D31">
        <w:t xml:space="preserve"> 14 час. 00 мин.</w:t>
      </w:r>
    </w:p>
    <w:p w:rsidR="002919BF" w:rsidRPr="00691D31" w:rsidRDefault="00797AD2" w:rsidP="00962FD2">
      <w:pPr>
        <w:jc w:val="both"/>
      </w:pPr>
      <w:r w:rsidRPr="00691D31">
        <w:tab/>
        <w:t xml:space="preserve">Место: 125047, Москва, Оружейный переулок, д. 19 </w:t>
      </w:r>
    </w:p>
    <w:p w:rsidR="00691D31" w:rsidRDefault="00691D31" w:rsidP="00962FD2">
      <w:pPr>
        <w:jc w:val="both"/>
        <w:rPr>
          <w:b/>
        </w:rPr>
      </w:pPr>
    </w:p>
    <w:p w:rsidR="00962FD2" w:rsidRPr="00691D31" w:rsidRDefault="00662448" w:rsidP="00962FD2">
      <w:pPr>
        <w:jc w:val="both"/>
      </w:pPr>
      <w:r w:rsidRPr="00691D31">
        <w:rPr>
          <w:b/>
        </w:rPr>
        <w:t>Вскрытие конвертов с Заявками</w:t>
      </w:r>
      <w:r w:rsidRPr="00691D31">
        <w:t xml:space="preserve"> </w:t>
      </w:r>
    </w:p>
    <w:p w:rsidR="00962FD2" w:rsidRPr="00691D31" w:rsidRDefault="00702B9B" w:rsidP="00962FD2">
      <w:pPr>
        <w:jc w:val="both"/>
      </w:pPr>
      <w:r w:rsidRPr="00691D31">
        <w:tab/>
      </w:r>
      <w:r w:rsidR="00962FD2" w:rsidRPr="00691D31">
        <w:t xml:space="preserve">Дата и время (по местному времени Организатора): </w:t>
      </w:r>
    </w:p>
    <w:p w:rsidR="00B75AC3" w:rsidRPr="00691D31" w:rsidRDefault="00B75AC3" w:rsidP="00B75AC3">
      <w:pPr>
        <w:jc w:val="both"/>
        <w:rPr>
          <w:b/>
        </w:rPr>
      </w:pPr>
      <w:r w:rsidRPr="00691D31">
        <w:tab/>
      </w:r>
      <w:r w:rsidR="00691D31" w:rsidRPr="00691D31">
        <w:rPr>
          <w:szCs w:val="28"/>
        </w:rPr>
        <w:t>«15</w:t>
      </w:r>
      <w:r w:rsidRPr="00691D31">
        <w:rPr>
          <w:szCs w:val="28"/>
        </w:rPr>
        <w:t xml:space="preserve">» </w:t>
      </w:r>
      <w:r w:rsidR="00691D31" w:rsidRPr="00691D31">
        <w:rPr>
          <w:szCs w:val="28"/>
        </w:rPr>
        <w:t>октября</w:t>
      </w:r>
      <w:r w:rsidRPr="00691D31">
        <w:rPr>
          <w:szCs w:val="28"/>
        </w:rPr>
        <w:t xml:space="preserve"> 2014 г.</w:t>
      </w:r>
      <w:r w:rsidRPr="00691D31">
        <w:t xml:space="preserve"> 14 час. 00 мин.</w:t>
      </w:r>
    </w:p>
    <w:p w:rsidR="00962FD2" w:rsidRPr="00691D31" w:rsidRDefault="00797AD2" w:rsidP="00962FD2">
      <w:pPr>
        <w:jc w:val="both"/>
      </w:pPr>
      <w:r w:rsidRPr="00691D31">
        <w:tab/>
        <w:t xml:space="preserve">Место: 125047, Москва, Оружейный переулок, д. 19 </w:t>
      </w:r>
    </w:p>
    <w:p w:rsidR="00662448" w:rsidRPr="00691D31" w:rsidRDefault="00662448" w:rsidP="00662448">
      <w:pPr>
        <w:jc w:val="both"/>
      </w:pPr>
    </w:p>
    <w:p w:rsidR="00662448" w:rsidRPr="00691D31" w:rsidRDefault="00662448" w:rsidP="00662448">
      <w:pPr>
        <w:jc w:val="both"/>
        <w:rPr>
          <w:b/>
          <w:szCs w:val="28"/>
        </w:rPr>
      </w:pPr>
      <w:r w:rsidRPr="00691D31">
        <w:rPr>
          <w:b/>
          <w:szCs w:val="28"/>
        </w:rPr>
        <w:t xml:space="preserve">Рассмотрение </w:t>
      </w:r>
      <w:r w:rsidR="00962FD2" w:rsidRPr="00691D31">
        <w:rPr>
          <w:b/>
          <w:szCs w:val="28"/>
        </w:rPr>
        <w:t>и сопоставление Заявок</w:t>
      </w:r>
    </w:p>
    <w:p w:rsidR="00B75AC3" w:rsidRPr="00691D31" w:rsidRDefault="00B75AC3" w:rsidP="00B75AC3">
      <w:pPr>
        <w:jc w:val="both"/>
        <w:rPr>
          <w:b/>
        </w:rPr>
      </w:pPr>
      <w:r w:rsidRPr="00691D31">
        <w:tab/>
      </w:r>
      <w:r w:rsidR="00691D31" w:rsidRPr="00691D31">
        <w:rPr>
          <w:szCs w:val="28"/>
        </w:rPr>
        <w:t xml:space="preserve">«17» октября </w:t>
      </w:r>
      <w:r w:rsidRPr="00691D31">
        <w:rPr>
          <w:szCs w:val="28"/>
        </w:rPr>
        <w:t>2014 г.</w:t>
      </w:r>
      <w:r w:rsidRPr="00691D31">
        <w:t xml:space="preserve"> 14 час. 00 мин.</w:t>
      </w:r>
    </w:p>
    <w:p w:rsidR="00962FD2" w:rsidRPr="00691D31" w:rsidRDefault="00797AD2" w:rsidP="00962FD2">
      <w:pPr>
        <w:jc w:val="both"/>
      </w:pPr>
      <w:r w:rsidRPr="00691D31">
        <w:tab/>
        <w:t>Место: 125047, Москва, Оружейный переулок, д. 19</w:t>
      </w:r>
    </w:p>
    <w:p w:rsidR="00662448" w:rsidRPr="00691D31" w:rsidRDefault="00662448" w:rsidP="00702B9B">
      <w:pPr>
        <w:pStyle w:val="a7"/>
        <w:suppressAutoHyphens/>
        <w:ind w:left="708" w:firstLine="0"/>
        <w:rPr>
          <w:sz w:val="28"/>
          <w:szCs w:val="28"/>
        </w:rPr>
      </w:pPr>
      <w:r w:rsidRPr="00691D31">
        <w:rPr>
          <w:sz w:val="28"/>
          <w:szCs w:val="28"/>
        </w:rPr>
        <w:t>Информация о ходе рассмотрения Заявок не подлежит разглашению.</w:t>
      </w:r>
    </w:p>
    <w:p w:rsidR="00BC29CF" w:rsidRDefault="00662448" w:rsidP="00962FD2">
      <w:pPr>
        <w:jc w:val="both"/>
        <w:rPr>
          <w:b/>
        </w:rPr>
      </w:pPr>
      <w:r w:rsidRPr="00691D31">
        <w:rPr>
          <w:b/>
        </w:rPr>
        <w:lastRenderedPageBreak/>
        <w:t>Подведение</w:t>
      </w:r>
      <w:r w:rsidR="00BC29CF" w:rsidRPr="00691D31">
        <w:rPr>
          <w:b/>
        </w:rPr>
        <w:t xml:space="preserve"> итогов</w:t>
      </w:r>
      <w:r w:rsidR="00691D31">
        <w:rPr>
          <w:b/>
        </w:rPr>
        <w:t>:</w:t>
      </w:r>
    </w:p>
    <w:p w:rsidR="00B75AC3" w:rsidRDefault="00691D31" w:rsidP="00B75AC3">
      <w:pPr>
        <w:jc w:val="both"/>
        <w:rPr>
          <w:b/>
        </w:rPr>
      </w:pPr>
      <w:r>
        <w:tab/>
      </w:r>
      <w:r w:rsidRPr="00691D31">
        <w:t>не позднее 14 час. 00 мин московского времени</w:t>
      </w:r>
      <w:r w:rsidRPr="00691D31">
        <w:rPr>
          <w:szCs w:val="28"/>
        </w:rPr>
        <w:t xml:space="preserve"> «06</w:t>
      </w:r>
      <w:r w:rsidR="00B75AC3" w:rsidRPr="00691D31">
        <w:rPr>
          <w:szCs w:val="28"/>
        </w:rPr>
        <w:t xml:space="preserve">» </w:t>
      </w:r>
      <w:r w:rsidRPr="00691D31">
        <w:rPr>
          <w:szCs w:val="28"/>
        </w:rPr>
        <w:t>ноября</w:t>
      </w:r>
      <w:r w:rsidR="00B75AC3" w:rsidRPr="00691D31">
        <w:rPr>
          <w:szCs w:val="28"/>
        </w:rPr>
        <w:t xml:space="preserve"> 2014 г</w:t>
      </w:r>
      <w:proofErr w:type="gramStart"/>
      <w:r w:rsidR="00B75AC3" w:rsidRPr="00691D31">
        <w:rPr>
          <w:szCs w:val="28"/>
        </w:rPr>
        <w:t>.</w:t>
      </w:r>
      <w:r w:rsidR="00B75AC3" w:rsidRPr="00691D31">
        <w:t>.</w:t>
      </w:r>
      <w:proofErr w:type="gramEnd"/>
    </w:p>
    <w:p w:rsidR="00962FD2" w:rsidRPr="000A67CD" w:rsidRDefault="00797AD2" w:rsidP="00962FD2">
      <w:pPr>
        <w:jc w:val="both"/>
      </w:pPr>
      <w:r w:rsidRPr="00797AD2">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5C" w:rsidRDefault="0089315C" w:rsidP="00CB1C18">
      <w:r>
        <w:separator/>
      </w:r>
    </w:p>
  </w:endnote>
  <w:endnote w:type="continuationSeparator" w:id="0">
    <w:p w:rsidR="0089315C" w:rsidRDefault="0089315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5C" w:rsidRDefault="0089315C" w:rsidP="00CB1C18">
      <w:r>
        <w:separator/>
      </w:r>
    </w:p>
  </w:footnote>
  <w:footnote w:type="continuationSeparator" w:id="0">
    <w:p w:rsidR="0089315C" w:rsidRDefault="0089315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Default="0027425A">
    <w:pPr>
      <w:pStyle w:val="af0"/>
      <w:jc w:val="center"/>
    </w:pPr>
    <w:fldSimple w:instr=" PAGE   \* MERGEFORMAT ">
      <w:r w:rsidR="00691D31">
        <w:rPr>
          <w:noProof/>
        </w:rPr>
        <w:t>2</w:t>
      </w:r>
    </w:fldSimple>
  </w:p>
  <w:p w:rsidR="00B75A46" w:rsidRDefault="00B75A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Pr="004F2B79" w:rsidRDefault="00B75A4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0C1"/>
    <w:rsid w:val="00024F41"/>
    <w:rsid w:val="00026B5E"/>
    <w:rsid w:val="00063509"/>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D6F"/>
    <w:rsid w:val="001B76AA"/>
    <w:rsid w:val="001C05F5"/>
    <w:rsid w:val="001C5A7E"/>
    <w:rsid w:val="001E0D52"/>
    <w:rsid w:val="001F0B3B"/>
    <w:rsid w:val="001F4F2E"/>
    <w:rsid w:val="001F52B9"/>
    <w:rsid w:val="00204B07"/>
    <w:rsid w:val="0020709B"/>
    <w:rsid w:val="00216833"/>
    <w:rsid w:val="002350DE"/>
    <w:rsid w:val="00237904"/>
    <w:rsid w:val="00245141"/>
    <w:rsid w:val="00250C33"/>
    <w:rsid w:val="0026332C"/>
    <w:rsid w:val="002636BF"/>
    <w:rsid w:val="00273298"/>
    <w:rsid w:val="0027425A"/>
    <w:rsid w:val="0028492E"/>
    <w:rsid w:val="002919BF"/>
    <w:rsid w:val="00296517"/>
    <w:rsid w:val="002A523E"/>
    <w:rsid w:val="002A7D8B"/>
    <w:rsid w:val="002C0F1D"/>
    <w:rsid w:val="002C536B"/>
    <w:rsid w:val="002E11EB"/>
    <w:rsid w:val="002E2B59"/>
    <w:rsid w:val="002E5A39"/>
    <w:rsid w:val="002F00CA"/>
    <w:rsid w:val="002F0875"/>
    <w:rsid w:val="003038BF"/>
    <w:rsid w:val="003106D1"/>
    <w:rsid w:val="0032153B"/>
    <w:rsid w:val="003248F4"/>
    <w:rsid w:val="00331802"/>
    <w:rsid w:val="00346605"/>
    <w:rsid w:val="003A5576"/>
    <w:rsid w:val="003C58C8"/>
    <w:rsid w:val="003C7469"/>
    <w:rsid w:val="003D0AA6"/>
    <w:rsid w:val="003D79C6"/>
    <w:rsid w:val="003E13B8"/>
    <w:rsid w:val="003E1D49"/>
    <w:rsid w:val="003F2B7A"/>
    <w:rsid w:val="0041301F"/>
    <w:rsid w:val="00422918"/>
    <w:rsid w:val="00427B60"/>
    <w:rsid w:val="0044002D"/>
    <w:rsid w:val="004566F4"/>
    <w:rsid w:val="00482157"/>
    <w:rsid w:val="00482BFC"/>
    <w:rsid w:val="00483D8D"/>
    <w:rsid w:val="00492657"/>
    <w:rsid w:val="004B3332"/>
    <w:rsid w:val="004B7489"/>
    <w:rsid w:val="004C3E28"/>
    <w:rsid w:val="004C63EA"/>
    <w:rsid w:val="004E09D6"/>
    <w:rsid w:val="004E0CB0"/>
    <w:rsid w:val="004F2B79"/>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7943"/>
    <w:rsid w:val="00583AE4"/>
    <w:rsid w:val="00584D63"/>
    <w:rsid w:val="005A69AB"/>
    <w:rsid w:val="005C1B79"/>
    <w:rsid w:val="005C47B9"/>
    <w:rsid w:val="005E0384"/>
    <w:rsid w:val="006072F9"/>
    <w:rsid w:val="006117F1"/>
    <w:rsid w:val="006323ED"/>
    <w:rsid w:val="00635611"/>
    <w:rsid w:val="006527AA"/>
    <w:rsid w:val="0065729B"/>
    <w:rsid w:val="0065731F"/>
    <w:rsid w:val="00661273"/>
    <w:rsid w:val="00662448"/>
    <w:rsid w:val="006713BF"/>
    <w:rsid w:val="00691D31"/>
    <w:rsid w:val="006B32C7"/>
    <w:rsid w:val="006B60A2"/>
    <w:rsid w:val="006E0FA2"/>
    <w:rsid w:val="006E3E38"/>
    <w:rsid w:val="006E65EB"/>
    <w:rsid w:val="007022A0"/>
    <w:rsid w:val="00702B9B"/>
    <w:rsid w:val="00706492"/>
    <w:rsid w:val="0071472A"/>
    <w:rsid w:val="00720B00"/>
    <w:rsid w:val="00724EED"/>
    <w:rsid w:val="007442D3"/>
    <w:rsid w:val="0075014E"/>
    <w:rsid w:val="00760CAD"/>
    <w:rsid w:val="00772A14"/>
    <w:rsid w:val="00790FF6"/>
    <w:rsid w:val="00795795"/>
    <w:rsid w:val="00797AD2"/>
    <w:rsid w:val="007A053B"/>
    <w:rsid w:val="007B4A2D"/>
    <w:rsid w:val="007D6F31"/>
    <w:rsid w:val="007F5506"/>
    <w:rsid w:val="00807177"/>
    <w:rsid w:val="00811B3E"/>
    <w:rsid w:val="008128DB"/>
    <w:rsid w:val="00831584"/>
    <w:rsid w:val="00852B23"/>
    <w:rsid w:val="00877914"/>
    <w:rsid w:val="00884629"/>
    <w:rsid w:val="0089315C"/>
    <w:rsid w:val="008B29D7"/>
    <w:rsid w:val="008C7B27"/>
    <w:rsid w:val="008E0CEC"/>
    <w:rsid w:val="008E1656"/>
    <w:rsid w:val="008F0A98"/>
    <w:rsid w:val="008F6D89"/>
    <w:rsid w:val="00910BE4"/>
    <w:rsid w:val="00915DBD"/>
    <w:rsid w:val="0092627C"/>
    <w:rsid w:val="0093062F"/>
    <w:rsid w:val="00962FD2"/>
    <w:rsid w:val="009662B7"/>
    <w:rsid w:val="00966BF5"/>
    <w:rsid w:val="00994F52"/>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716A3"/>
    <w:rsid w:val="00A7517C"/>
    <w:rsid w:val="00A767DE"/>
    <w:rsid w:val="00A80D6D"/>
    <w:rsid w:val="00A85B19"/>
    <w:rsid w:val="00AA34B6"/>
    <w:rsid w:val="00AA36AF"/>
    <w:rsid w:val="00AA3FCE"/>
    <w:rsid w:val="00AA79FA"/>
    <w:rsid w:val="00AA7EFD"/>
    <w:rsid w:val="00AB48AD"/>
    <w:rsid w:val="00AB7261"/>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710BB"/>
    <w:rsid w:val="00C73DDA"/>
    <w:rsid w:val="00C84BDD"/>
    <w:rsid w:val="00C94499"/>
    <w:rsid w:val="00CA3A20"/>
    <w:rsid w:val="00CB1C18"/>
    <w:rsid w:val="00CC3B3C"/>
    <w:rsid w:val="00CE09CD"/>
    <w:rsid w:val="00CE3802"/>
    <w:rsid w:val="00CF610B"/>
    <w:rsid w:val="00D0636A"/>
    <w:rsid w:val="00D17020"/>
    <w:rsid w:val="00D21C01"/>
    <w:rsid w:val="00D32B13"/>
    <w:rsid w:val="00D32F01"/>
    <w:rsid w:val="00D35556"/>
    <w:rsid w:val="00D40099"/>
    <w:rsid w:val="00D42FA6"/>
    <w:rsid w:val="00D43A0F"/>
    <w:rsid w:val="00D50A82"/>
    <w:rsid w:val="00D70D67"/>
    <w:rsid w:val="00D73B2F"/>
    <w:rsid w:val="00D7451B"/>
    <w:rsid w:val="00D84F35"/>
    <w:rsid w:val="00D9562C"/>
    <w:rsid w:val="00DB11D3"/>
    <w:rsid w:val="00DE5F8C"/>
    <w:rsid w:val="00E16968"/>
    <w:rsid w:val="00E26F81"/>
    <w:rsid w:val="00E31A78"/>
    <w:rsid w:val="00E35CDC"/>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43E7"/>
    <w:rsid w:val="00F25640"/>
    <w:rsid w:val="00F3417A"/>
    <w:rsid w:val="00F532A7"/>
    <w:rsid w:val="00F6476F"/>
    <w:rsid w:val="00F72DD1"/>
    <w:rsid w:val="00F752D3"/>
    <w:rsid w:val="00F776E4"/>
    <w:rsid w:val="00F91597"/>
    <w:rsid w:val="00F94074"/>
    <w:rsid w:val="00F9545A"/>
    <w:rsid w:val="00FD0809"/>
    <w:rsid w:val="00FD22DF"/>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8070688">
      <w:bodyDiv w:val="1"/>
      <w:marLeft w:val="0"/>
      <w:marRight w:val="0"/>
      <w:marTop w:val="0"/>
      <w:marBottom w:val="0"/>
      <w:divBdr>
        <w:top w:val="none" w:sz="0" w:space="0" w:color="auto"/>
        <w:left w:val="none" w:sz="0" w:space="0" w:color="auto"/>
        <w:bottom w:val="none" w:sz="0" w:space="0" w:color="auto"/>
        <w:right w:val="none" w:sz="0" w:space="0" w:color="auto"/>
      </w:divBdr>
    </w:div>
    <w:div w:id="1941722552">
      <w:bodyDiv w:val="1"/>
      <w:marLeft w:val="0"/>
      <w:marRight w:val="0"/>
      <w:marTop w:val="0"/>
      <w:marBottom w:val="0"/>
      <w:divBdr>
        <w:top w:val="none" w:sz="0" w:space="0" w:color="auto"/>
        <w:left w:val="none" w:sz="0" w:space="0" w:color="auto"/>
        <w:bottom w:val="none" w:sz="0" w:space="0" w:color="auto"/>
        <w:right w:val="none" w:sz="0" w:space="0" w:color="auto"/>
      </w:divBdr>
    </w:div>
    <w:div w:id="200284804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A9D5E-F503-492B-B83A-121663E0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12</cp:revision>
  <cp:lastPrinted>2013-04-01T13:23:00Z</cp:lastPrinted>
  <dcterms:created xsi:type="dcterms:W3CDTF">2014-06-05T11:17:00Z</dcterms:created>
  <dcterms:modified xsi:type="dcterms:W3CDTF">2014-09-24T07:46:00Z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