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313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535B6">
        <w:rPr>
          <w:b/>
          <w:bCs/>
          <w:szCs w:val="28"/>
        </w:rPr>
        <w:t>14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535B6">
        <w:rPr>
          <w:b/>
          <w:bCs/>
          <w:szCs w:val="28"/>
        </w:rPr>
        <w:t>10</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3682A" w:rsidRDefault="00D3682A" w:rsidP="005F410F">
      <w:pPr>
        <w:pStyle w:val="a6"/>
        <w:tabs>
          <w:tab w:val="left" w:pos="142"/>
          <w:tab w:val="left" w:pos="709"/>
          <w:tab w:val="left" w:pos="2800"/>
          <w:tab w:val="left" w:pos="7700"/>
        </w:tabs>
        <w:ind w:firstLine="709"/>
        <w:jc w:val="left"/>
        <w:rPr>
          <w:b/>
          <w:i w:val="0"/>
          <w:u w:val="single"/>
        </w:rPr>
      </w:pPr>
    </w:p>
    <w:p w:rsidR="00D3682A" w:rsidRDefault="00D3682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3682A" w:rsidRPr="005947AB" w:rsidRDefault="005947AB" w:rsidP="00D3682A">
      <w:pPr>
        <w:ind w:left="709"/>
        <w:jc w:val="both"/>
        <w:rPr>
          <w:szCs w:val="28"/>
          <w:lang w:val="en-US"/>
        </w:rPr>
      </w:pPr>
      <w:r>
        <w:rPr>
          <w:szCs w:val="28"/>
          <w:lang w:val="en-US"/>
        </w:rPr>
        <w:t>….</w:t>
      </w:r>
    </w:p>
    <w:p w:rsidR="00D3682A" w:rsidRPr="00D3682A" w:rsidRDefault="00D3682A" w:rsidP="00D3682A">
      <w:pPr>
        <w:ind w:left="709"/>
        <w:rPr>
          <w:szCs w:val="28"/>
        </w:rPr>
      </w:pPr>
    </w:p>
    <w:p w:rsidR="00D3682A" w:rsidRPr="00D3682A" w:rsidRDefault="00D3682A" w:rsidP="00D3682A">
      <w:pPr>
        <w:pStyle w:val="26"/>
        <w:numPr>
          <w:ilvl w:val="0"/>
          <w:numId w:val="2"/>
        </w:numPr>
        <w:tabs>
          <w:tab w:val="left" w:pos="708"/>
        </w:tabs>
        <w:spacing w:after="0"/>
        <w:ind w:left="720"/>
        <w:jc w:val="both"/>
        <w:rPr>
          <w:rFonts w:ascii="Times New Roman" w:hAnsi="Times New Roman"/>
          <w:sz w:val="28"/>
          <w:szCs w:val="28"/>
        </w:rPr>
      </w:pPr>
      <w:r w:rsidRPr="00D3682A">
        <w:rPr>
          <w:rFonts w:ascii="Times New Roman" w:hAnsi="Times New Roman"/>
          <w:sz w:val="28"/>
          <w:szCs w:val="28"/>
        </w:rPr>
        <w:t xml:space="preserve">Подведение итогов открытого конкурса в электронной форме </w:t>
      </w:r>
      <w:r w:rsidRPr="00D3682A">
        <w:rPr>
          <w:rFonts w:ascii="Times New Roman" w:hAnsi="Times New Roman"/>
          <w:sz w:val="28"/>
          <w:szCs w:val="28"/>
        </w:rPr>
        <w:br/>
        <w:t>на право заключения договора на текущий ремонт и техническое обслуживание автотранспорта филиала ОАО «ТрансКонтейнер» на Северной железной дороге в 2014 году.</w:t>
      </w:r>
    </w:p>
    <w:p w:rsidR="00D3682A" w:rsidRPr="00D3682A" w:rsidRDefault="00D3682A" w:rsidP="00D3682A">
      <w:pPr>
        <w:ind w:left="720"/>
        <w:jc w:val="both"/>
        <w:rPr>
          <w:szCs w:val="28"/>
        </w:rPr>
      </w:pPr>
      <w:r w:rsidRPr="00D3682A">
        <w:rPr>
          <w:szCs w:val="28"/>
        </w:rPr>
        <w:t>Докладчик: ЦКПРТ Никонов М.Н.</w:t>
      </w:r>
    </w:p>
    <w:p w:rsidR="00D3682A" w:rsidRPr="00D3682A" w:rsidRDefault="00D3682A" w:rsidP="00D3682A">
      <w:pPr>
        <w:pStyle w:val="13"/>
        <w:ind w:left="709" w:hanging="567"/>
        <w:rPr>
          <w:szCs w:val="28"/>
        </w:rPr>
      </w:pPr>
      <w:r w:rsidRPr="00D3682A">
        <w:rPr>
          <w:szCs w:val="28"/>
        </w:rPr>
        <w:tab/>
        <w:t>Заявка в АСБК: Т10045985, Т10045984, Т10045982, Т10045981, Т10045370, Т10045361.</w:t>
      </w:r>
    </w:p>
    <w:p w:rsidR="00D3682A" w:rsidRPr="00D3682A" w:rsidRDefault="00D3682A" w:rsidP="00D3682A">
      <w:pPr>
        <w:ind w:left="720"/>
        <w:jc w:val="both"/>
        <w:rPr>
          <w:szCs w:val="28"/>
        </w:rPr>
      </w:pPr>
      <w:r w:rsidRPr="00D3682A">
        <w:rPr>
          <w:szCs w:val="28"/>
        </w:rPr>
        <w:t xml:space="preserve">Конкурс: </w:t>
      </w:r>
      <w:proofErr w:type="spellStart"/>
      <w:r w:rsidRPr="00D3682A">
        <w:rPr>
          <w:szCs w:val="28"/>
        </w:rPr>
        <w:t>ОКэ</w:t>
      </w:r>
      <w:proofErr w:type="spellEnd"/>
      <w:r w:rsidRPr="00D3682A">
        <w:rPr>
          <w:szCs w:val="28"/>
        </w:rPr>
        <w:t>/001/НКПСЕВ/0003</w:t>
      </w:r>
    </w:p>
    <w:p w:rsidR="00D3682A" w:rsidRPr="00D3682A" w:rsidRDefault="00D3682A" w:rsidP="00D3682A">
      <w:pPr>
        <w:jc w:val="both"/>
        <w:rPr>
          <w:szCs w:val="28"/>
        </w:rPr>
      </w:pPr>
    </w:p>
    <w:p w:rsidR="00A046D4" w:rsidRPr="0022546F" w:rsidRDefault="0022546F" w:rsidP="00236DC1">
      <w:pPr>
        <w:pStyle w:val="ad"/>
        <w:ind w:left="0" w:firstLine="709"/>
        <w:jc w:val="both"/>
        <w:rPr>
          <w:szCs w:val="28"/>
        </w:rPr>
      </w:pPr>
      <w:r w:rsidRPr="0022546F">
        <w:rPr>
          <w:szCs w:val="28"/>
        </w:rPr>
        <w:t>….</w:t>
      </w:r>
    </w:p>
    <w:p w:rsidR="00A046D4" w:rsidRPr="004E23C0" w:rsidRDefault="00A046D4" w:rsidP="00EC0EC7">
      <w:pPr>
        <w:pStyle w:val="ad"/>
        <w:tabs>
          <w:tab w:val="left" w:pos="851"/>
        </w:tabs>
        <w:ind w:left="709"/>
        <w:jc w:val="both"/>
        <w:rPr>
          <w:szCs w:val="28"/>
        </w:rPr>
      </w:pPr>
    </w:p>
    <w:p w:rsidR="00B203EE" w:rsidRPr="006B53F8" w:rsidRDefault="00B203EE" w:rsidP="00B203EE">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7709F0" w:rsidRPr="00D3682A" w:rsidRDefault="007709F0" w:rsidP="006230DE">
      <w:pPr>
        <w:pStyle w:val="26"/>
        <w:numPr>
          <w:ilvl w:val="0"/>
          <w:numId w:val="65"/>
        </w:numPr>
        <w:tabs>
          <w:tab w:val="left" w:pos="0"/>
        </w:tabs>
        <w:spacing w:after="0"/>
        <w:ind w:left="0" w:firstLine="709"/>
        <w:jc w:val="both"/>
        <w:rPr>
          <w:rFonts w:ascii="Times New Roman" w:hAnsi="Times New Roman"/>
          <w:sz w:val="28"/>
          <w:szCs w:val="28"/>
        </w:rPr>
      </w:pPr>
      <w:r>
        <w:rPr>
          <w:rFonts w:ascii="Times New Roman" w:hAnsi="Times New Roman"/>
          <w:sz w:val="28"/>
          <w:szCs w:val="28"/>
        </w:rPr>
        <w:t>О</w:t>
      </w:r>
      <w:r w:rsidRPr="00D3682A">
        <w:rPr>
          <w:rFonts w:ascii="Times New Roman" w:hAnsi="Times New Roman"/>
          <w:sz w:val="28"/>
          <w:szCs w:val="28"/>
        </w:rPr>
        <w:t>ткрыт</w:t>
      </w:r>
      <w:r>
        <w:rPr>
          <w:rFonts w:ascii="Times New Roman" w:hAnsi="Times New Roman"/>
          <w:sz w:val="28"/>
          <w:szCs w:val="28"/>
        </w:rPr>
        <w:t>ый</w:t>
      </w:r>
      <w:r w:rsidRPr="00D3682A">
        <w:rPr>
          <w:rFonts w:ascii="Times New Roman" w:hAnsi="Times New Roman"/>
          <w:sz w:val="28"/>
          <w:szCs w:val="28"/>
        </w:rPr>
        <w:t xml:space="preserve"> конкурс</w:t>
      </w:r>
      <w:r>
        <w:rPr>
          <w:rFonts w:ascii="Times New Roman" w:hAnsi="Times New Roman"/>
          <w:sz w:val="28"/>
          <w:szCs w:val="28"/>
        </w:rPr>
        <w:t xml:space="preserve"> №</w:t>
      </w:r>
      <w:r w:rsidRPr="007709F0">
        <w:rPr>
          <w:szCs w:val="28"/>
        </w:rPr>
        <w:t xml:space="preserve"> </w:t>
      </w:r>
      <w:proofErr w:type="spellStart"/>
      <w:r w:rsidRPr="006230DE">
        <w:rPr>
          <w:rFonts w:ascii="Times New Roman" w:hAnsi="Times New Roman"/>
          <w:sz w:val="28"/>
          <w:szCs w:val="28"/>
        </w:rPr>
        <w:t>ОКэ</w:t>
      </w:r>
      <w:proofErr w:type="spellEnd"/>
      <w:r w:rsidRPr="006230DE">
        <w:rPr>
          <w:rFonts w:ascii="Times New Roman" w:hAnsi="Times New Roman"/>
          <w:sz w:val="28"/>
          <w:szCs w:val="28"/>
        </w:rPr>
        <w:t>/001/НКПСЕВ/0003</w:t>
      </w:r>
      <w:r w:rsidRPr="00D3682A">
        <w:rPr>
          <w:rFonts w:ascii="Times New Roman" w:hAnsi="Times New Roman"/>
          <w:sz w:val="28"/>
          <w:szCs w:val="28"/>
        </w:rPr>
        <w:t xml:space="preserve"> в электронной форме </w:t>
      </w:r>
      <w:r w:rsidRPr="00D3682A">
        <w:rPr>
          <w:rFonts w:ascii="Times New Roman" w:hAnsi="Times New Roman"/>
          <w:sz w:val="28"/>
          <w:szCs w:val="28"/>
        </w:rPr>
        <w:br/>
        <w:t xml:space="preserve">на право заключения договора на текущий ремонт и техническое обслуживание </w:t>
      </w:r>
      <w:r w:rsidRPr="00D3682A">
        <w:rPr>
          <w:rFonts w:ascii="Times New Roman" w:hAnsi="Times New Roman"/>
          <w:sz w:val="28"/>
          <w:szCs w:val="28"/>
        </w:rPr>
        <w:lastRenderedPageBreak/>
        <w:t>автотранспорта филиала ОАО «ТрансКонтейнер» на Северной железной дороге в 2014 году</w:t>
      </w:r>
      <w:r>
        <w:rPr>
          <w:rFonts w:ascii="Times New Roman" w:hAnsi="Times New Roman"/>
          <w:sz w:val="28"/>
          <w:szCs w:val="28"/>
        </w:rPr>
        <w:t xml:space="preserve"> признан состоявшимся.</w:t>
      </w:r>
    </w:p>
    <w:p w:rsidR="007709F0" w:rsidRDefault="007709F0" w:rsidP="006230DE">
      <w:pPr>
        <w:pStyle w:val="ad"/>
        <w:numPr>
          <w:ilvl w:val="0"/>
          <w:numId w:val="65"/>
        </w:numPr>
        <w:ind w:left="0" w:firstLine="709"/>
        <w:jc w:val="both"/>
        <w:rPr>
          <w:szCs w:val="28"/>
        </w:rPr>
      </w:pPr>
      <w:r w:rsidRPr="00612F58">
        <w:rPr>
          <w:szCs w:val="28"/>
        </w:rPr>
        <w:t xml:space="preserve">Согласиться с выводами и предложениями Постоянной рабочей группы Конкурсной комиссии филиала ОАО «ТрансКонтейнер» на </w:t>
      </w:r>
      <w:r w:rsidRPr="00D3682A">
        <w:rPr>
          <w:szCs w:val="28"/>
        </w:rPr>
        <w:t>Северной</w:t>
      </w:r>
      <w:r w:rsidRPr="00612F58">
        <w:rPr>
          <w:szCs w:val="28"/>
        </w:rPr>
        <w:t xml:space="preserve"> железной дороге (Протокол № </w:t>
      </w:r>
      <w:r>
        <w:rPr>
          <w:szCs w:val="28"/>
        </w:rPr>
        <w:t>8</w:t>
      </w:r>
      <w:r w:rsidRPr="00612F58">
        <w:rPr>
          <w:szCs w:val="28"/>
        </w:rPr>
        <w:t>/ПРГ заседания, состоявшегося 1</w:t>
      </w:r>
      <w:r>
        <w:rPr>
          <w:szCs w:val="28"/>
        </w:rPr>
        <w:t>9</w:t>
      </w:r>
      <w:r w:rsidRPr="00612F58">
        <w:rPr>
          <w:szCs w:val="28"/>
        </w:rPr>
        <w:t xml:space="preserve"> марта 2014 г.) в части принятия решения допустить к участию в отк</w:t>
      </w:r>
      <w:r w:rsidRPr="00151AAD">
        <w:rPr>
          <w:szCs w:val="28"/>
        </w:rPr>
        <w:t>рытом конкурсе</w:t>
      </w:r>
      <w:r>
        <w:rPr>
          <w:szCs w:val="28"/>
        </w:rPr>
        <w:t xml:space="preserve">                  </w:t>
      </w:r>
      <w:r w:rsidRPr="000D1F7E">
        <w:rPr>
          <w:szCs w:val="28"/>
        </w:rPr>
        <w:t>ООО «</w:t>
      </w:r>
      <w:proofErr w:type="spellStart"/>
      <w:r w:rsidRPr="000D1F7E">
        <w:rPr>
          <w:szCs w:val="28"/>
        </w:rPr>
        <w:t>ПитСтоп</w:t>
      </w:r>
      <w:proofErr w:type="spellEnd"/>
      <w:r w:rsidRPr="000D1F7E">
        <w:rPr>
          <w:szCs w:val="28"/>
        </w:rPr>
        <w:t>»</w:t>
      </w:r>
      <w:r>
        <w:rPr>
          <w:szCs w:val="28"/>
        </w:rPr>
        <w:t xml:space="preserve">, </w:t>
      </w:r>
      <w:r w:rsidRPr="00777F02">
        <w:rPr>
          <w:szCs w:val="28"/>
        </w:rPr>
        <w:t>ООО «</w:t>
      </w:r>
      <w:proofErr w:type="spellStart"/>
      <w:r w:rsidRPr="00777F02">
        <w:rPr>
          <w:szCs w:val="28"/>
        </w:rPr>
        <w:t>Аванти</w:t>
      </w:r>
      <w:proofErr w:type="spellEnd"/>
      <w:r w:rsidRPr="00777F02">
        <w:rPr>
          <w:szCs w:val="28"/>
        </w:rPr>
        <w:t>»</w:t>
      </w:r>
      <w:r>
        <w:rPr>
          <w:szCs w:val="28"/>
        </w:rPr>
        <w:t>.</w:t>
      </w:r>
    </w:p>
    <w:p w:rsidR="00600A9B" w:rsidRPr="00600A9B" w:rsidRDefault="007709F0" w:rsidP="006230DE">
      <w:pPr>
        <w:pStyle w:val="ad"/>
        <w:numPr>
          <w:ilvl w:val="0"/>
          <w:numId w:val="65"/>
        </w:numPr>
        <w:ind w:left="0" w:firstLine="709"/>
        <w:jc w:val="both"/>
        <w:rPr>
          <w:szCs w:val="28"/>
        </w:rPr>
      </w:pPr>
      <w:r w:rsidRPr="00600A9B">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rsidR="00376BA5">
        <w:rPr>
          <w:szCs w:val="28"/>
        </w:rPr>
        <w:t>Северной</w:t>
      </w:r>
      <w:bookmarkStart w:id="0" w:name="_GoBack"/>
      <w:bookmarkEnd w:id="0"/>
      <w:r w:rsidRPr="004642AB">
        <w:t xml:space="preserve"> железной дороге</w:t>
      </w:r>
      <w:r w:rsidRPr="00600A9B">
        <w:rPr>
          <w:szCs w:val="28"/>
        </w:rPr>
        <w:t xml:space="preserve"> (Протокол № 3-Р/ПРГ заседания, состоявшегося  18 марта 2014 г.) </w:t>
      </w:r>
      <w:r w:rsidR="00600A9B" w:rsidRPr="00600A9B">
        <w:rPr>
          <w:szCs w:val="28"/>
        </w:rPr>
        <w:t>в части присвоения участникам порядковых номеров и определения победителя, принято решение:</w:t>
      </w:r>
    </w:p>
    <w:p w:rsidR="00600A9B" w:rsidRPr="00D0127E" w:rsidRDefault="00600A9B" w:rsidP="006230DE">
      <w:pPr>
        <w:pStyle w:val="ad"/>
        <w:numPr>
          <w:ilvl w:val="1"/>
          <w:numId w:val="65"/>
        </w:numPr>
        <w:ind w:left="0" w:firstLine="709"/>
        <w:jc w:val="both"/>
      </w:pPr>
      <w:r w:rsidRPr="00600A9B">
        <w:rPr>
          <w:szCs w:val="28"/>
        </w:rPr>
        <w:t>заявкам участников присвоить следующие порядковые номера:</w:t>
      </w:r>
    </w:p>
    <w:p w:rsidR="00600A9B" w:rsidRPr="00D0127E" w:rsidRDefault="00600A9B" w:rsidP="006230DE">
      <w:pPr>
        <w:pStyle w:val="ad"/>
        <w:ind w:left="1418"/>
        <w:jc w:val="both"/>
      </w:pPr>
    </w:p>
    <w:tbl>
      <w:tblPr>
        <w:tblW w:w="8258" w:type="dxa"/>
        <w:jc w:val="center"/>
        <w:tblInd w:w="93" w:type="dxa"/>
        <w:tblLook w:val="04A0"/>
      </w:tblPr>
      <w:tblGrid>
        <w:gridCol w:w="4575"/>
        <w:gridCol w:w="1983"/>
        <w:gridCol w:w="1700"/>
      </w:tblGrid>
      <w:tr w:rsidR="00600A9B" w:rsidRPr="006230DE" w:rsidTr="006230DE">
        <w:trPr>
          <w:trHeight w:val="825"/>
          <w:jc w:val="center"/>
        </w:trPr>
        <w:tc>
          <w:tcPr>
            <w:tcW w:w="4575" w:type="dxa"/>
            <w:tcBorders>
              <w:top w:val="single" w:sz="8" w:space="0" w:color="auto"/>
              <w:left w:val="single" w:sz="8" w:space="0" w:color="auto"/>
              <w:bottom w:val="nil"/>
              <w:right w:val="single" w:sz="8" w:space="0" w:color="auto"/>
            </w:tcBorders>
            <w:shd w:val="clear" w:color="auto" w:fill="auto"/>
            <w:hideMark/>
          </w:tcPr>
          <w:p w:rsidR="00600A9B" w:rsidRPr="00EC0EC7" w:rsidRDefault="00600A9B" w:rsidP="00E53DB3">
            <w:pPr>
              <w:jc w:val="center"/>
              <w:rPr>
                <w:bCs/>
                <w:sz w:val="24"/>
                <w:szCs w:val="24"/>
              </w:rPr>
            </w:pPr>
            <w:r w:rsidRPr="00EC0EC7">
              <w:rPr>
                <w:bCs/>
                <w:sz w:val="24"/>
                <w:szCs w:val="24"/>
              </w:rPr>
              <w:t>Сведения об организации</w:t>
            </w:r>
          </w:p>
          <w:p w:rsidR="00600A9B" w:rsidRPr="006230DE" w:rsidRDefault="00600A9B" w:rsidP="00600A9B">
            <w:pPr>
              <w:jc w:val="center"/>
              <w:rPr>
                <w:bCs/>
                <w:sz w:val="24"/>
                <w:szCs w:val="24"/>
              </w:rPr>
            </w:pPr>
            <w:r w:rsidRPr="00EC0EC7">
              <w:rPr>
                <w:bCs/>
                <w:sz w:val="24"/>
                <w:szCs w:val="24"/>
              </w:rPr>
              <w:t>(Наименование организации, ИНН, КПП)</w:t>
            </w:r>
          </w:p>
        </w:tc>
        <w:tc>
          <w:tcPr>
            <w:tcW w:w="1983" w:type="dxa"/>
            <w:tcBorders>
              <w:top w:val="single" w:sz="8" w:space="0" w:color="auto"/>
              <w:left w:val="nil"/>
              <w:bottom w:val="nil"/>
              <w:right w:val="single" w:sz="8" w:space="0" w:color="000000"/>
            </w:tcBorders>
            <w:shd w:val="clear" w:color="auto" w:fill="auto"/>
            <w:hideMark/>
          </w:tcPr>
          <w:p w:rsidR="00600A9B" w:rsidRPr="006230DE" w:rsidRDefault="00600A9B" w:rsidP="00600A9B">
            <w:pPr>
              <w:jc w:val="center"/>
              <w:rPr>
                <w:bCs/>
                <w:sz w:val="24"/>
                <w:szCs w:val="24"/>
              </w:rPr>
            </w:pPr>
            <w:r w:rsidRPr="00EC0EC7">
              <w:rPr>
                <w:bCs/>
                <w:sz w:val="24"/>
                <w:szCs w:val="24"/>
              </w:rPr>
              <w:t>Количество баллов</w:t>
            </w:r>
          </w:p>
        </w:tc>
        <w:tc>
          <w:tcPr>
            <w:tcW w:w="1700" w:type="dxa"/>
            <w:tcBorders>
              <w:top w:val="single" w:sz="8" w:space="0" w:color="auto"/>
              <w:left w:val="nil"/>
              <w:bottom w:val="nil"/>
              <w:right w:val="single" w:sz="8" w:space="0" w:color="000000"/>
            </w:tcBorders>
            <w:shd w:val="clear" w:color="auto" w:fill="auto"/>
            <w:hideMark/>
          </w:tcPr>
          <w:p w:rsidR="00600A9B" w:rsidRPr="006230DE" w:rsidRDefault="00600A9B" w:rsidP="00600A9B">
            <w:pPr>
              <w:jc w:val="center"/>
              <w:rPr>
                <w:bCs/>
                <w:sz w:val="24"/>
                <w:szCs w:val="24"/>
              </w:rPr>
            </w:pPr>
            <w:r w:rsidRPr="00EC0EC7">
              <w:rPr>
                <w:bCs/>
                <w:sz w:val="24"/>
                <w:szCs w:val="24"/>
              </w:rPr>
              <w:t>Порядковый номер</w:t>
            </w:r>
          </w:p>
        </w:tc>
      </w:tr>
      <w:tr w:rsidR="00600A9B" w:rsidRPr="006230DE" w:rsidTr="006230DE">
        <w:trPr>
          <w:trHeight w:val="402"/>
          <w:jc w:val="center"/>
        </w:trPr>
        <w:tc>
          <w:tcPr>
            <w:tcW w:w="4575" w:type="dxa"/>
            <w:tcBorders>
              <w:top w:val="single" w:sz="8" w:space="0" w:color="auto"/>
              <w:left w:val="single" w:sz="8" w:space="0" w:color="auto"/>
              <w:bottom w:val="single" w:sz="4" w:space="0" w:color="auto"/>
              <w:right w:val="nil"/>
            </w:tcBorders>
            <w:shd w:val="clear" w:color="auto" w:fill="auto"/>
            <w:vAlign w:val="center"/>
            <w:hideMark/>
          </w:tcPr>
          <w:p w:rsidR="00600A9B" w:rsidRDefault="00600A9B" w:rsidP="006230DE">
            <w:pPr>
              <w:pStyle w:val="38"/>
              <w:ind w:firstLine="0"/>
              <w:contextualSpacing/>
              <w:jc w:val="center"/>
              <w:rPr>
                <w:bCs/>
                <w:sz w:val="24"/>
                <w:szCs w:val="24"/>
              </w:rPr>
            </w:pPr>
            <w:r w:rsidRPr="006230DE">
              <w:rPr>
                <w:bCs/>
                <w:sz w:val="24"/>
                <w:szCs w:val="24"/>
              </w:rPr>
              <w:t>ООО "</w:t>
            </w:r>
            <w:proofErr w:type="spellStart"/>
            <w:r w:rsidRPr="006230DE">
              <w:rPr>
                <w:bCs/>
                <w:sz w:val="24"/>
                <w:szCs w:val="24"/>
              </w:rPr>
              <w:t>ПитСтоп</w:t>
            </w:r>
            <w:proofErr w:type="spellEnd"/>
            <w:r w:rsidRPr="006230DE">
              <w:rPr>
                <w:bCs/>
                <w:sz w:val="24"/>
                <w:szCs w:val="24"/>
              </w:rPr>
              <w:t>"</w:t>
            </w:r>
            <w:r>
              <w:rPr>
                <w:bCs/>
                <w:sz w:val="24"/>
                <w:szCs w:val="24"/>
              </w:rPr>
              <w:t xml:space="preserve">, </w:t>
            </w:r>
          </w:p>
          <w:p w:rsidR="00600A9B" w:rsidRPr="006230DE" w:rsidRDefault="00600A9B" w:rsidP="006230DE">
            <w:pPr>
              <w:jc w:val="center"/>
              <w:rPr>
                <w:bCs/>
                <w:sz w:val="24"/>
                <w:szCs w:val="24"/>
              </w:rPr>
            </w:pPr>
            <w:r w:rsidRPr="006230DE">
              <w:rPr>
                <w:bCs/>
                <w:sz w:val="24"/>
                <w:szCs w:val="24"/>
              </w:rPr>
              <w:t>ИНН 7602077356,</w:t>
            </w:r>
          </w:p>
          <w:p w:rsidR="00600A9B" w:rsidRDefault="00600A9B" w:rsidP="006230DE">
            <w:pPr>
              <w:jc w:val="center"/>
              <w:rPr>
                <w:bCs/>
                <w:sz w:val="24"/>
                <w:szCs w:val="24"/>
              </w:rPr>
            </w:pPr>
            <w:r w:rsidRPr="006230DE">
              <w:rPr>
                <w:bCs/>
                <w:sz w:val="24"/>
                <w:szCs w:val="24"/>
              </w:rPr>
              <w:t>КПП 760401001</w:t>
            </w:r>
          </w:p>
          <w:p w:rsidR="00600A9B" w:rsidRPr="006230DE" w:rsidRDefault="00600A9B" w:rsidP="006230DE">
            <w:pPr>
              <w:jc w:val="center"/>
              <w:rPr>
                <w:bCs/>
                <w:sz w:val="24"/>
                <w:szCs w:val="24"/>
              </w:rPr>
            </w:pPr>
          </w:p>
        </w:tc>
        <w:tc>
          <w:tcPr>
            <w:tcW w:w="1983"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600A9B" w:rsidRPr="006230DE" w:rsidRDefault="00600A9B" w:rsidP="00600A9B">
            <w:pPr>
              <w:jc w:val="center"/>
              <w:rPr>
                <w:bCs/>
                <w:sz w:val="24"/>
                <w:szCs w:val="24"/>
              </w:rPr>
            </w:pPr>
            <w:r w:rsidRPr="006230DE">
              <w:rPr>
                <w:bCs/>
                <w:sz w:val="24"/>
                <w:szCs w:val="24"/>
              </w:rPr>
              <w:t>1,300</w:t>
            </w:r>
          </w:p>
        </w:tc>
        <w:tc>
          <w:tcPr>
            <w:tcW w:w="1700" w:type="dxa"/>
            <w:tcBorders>
              <w:top w:val="single" w:sz="8" w:space="0" w:color="auto"/>
              <w:left w:val="nil"/>
              <w:bottom w:val="single" w:sz="4" w:space="0" w:color="auto"/>
              <w:right w:val="single" w:sz="8" w:space="0" w:color="000000"/>
            </w:tcBorders>
            <w:shd w:val="clear" w:color="auto" w:fill="auto"/>
            <w:vAlign w:val="center"/>
            <w:hideMark/>
          </w:tcPr>
          <w:p w:rsidR="00600A9B" w:rsidRPr="006230DE" w:rsidRDefault="00600A9B" w:rsidP="00600A9B">
            <w:pPr>
              <w:jc w:val="center"/>
              <w:rPr>
                <w:bCs/>
                <w:sz w:val="24"/>
                <w:szCs w:val="24"/>
              </w:rPr>
            </w:pPr>
            <w:r w:rsidRPr="006230DE">
              <w:rPr>
                <w:bCs/>
                <w:sz w:val="24"/>
                <w:szCs w:val="24"/>
              </w:rPr>
              <w:t>2</w:t>
            </w:r>
          </w:p>
        </w:tc>
      </w:tr>
      <w:tr w:rsidR="00600A9B" w:rsidRPr="006230DE" w:rsidTr="006230DE">
        <w:trPr>
          <w:trHeight w:val="402"/>
          <w:jc w:val="center"/>
        </w:trPr>
        <w:tc>
          <w:tcPr>
            <w:tcW w:w="4575" w:type="dxa"/>
            <w:tcBorders>
              <w:top w:val="nil"/>
              <w:left w:val="single" w:sz="8" w:space="0" w:color="auto"/>
              <w:bottom w:val="single" w:sz="8" w:space="0" w:color="auto"/>
              <w:right w:val="nil"/>
            </w:tcBorders>
            <w:shd w:val="clear" w:color="auto" w:fill="auto"/>
            <w:vAlign w:val="center"/>
            <w:hideMark/>
          </w:tcPr>
          <w:p w:rsidR="00600A9B" w:rsidRDefault="00600A9B" w:rsidP="006230DE">
            <w:pPr>
              <w:jc w:val="center"/>
              <w:rPr>
                <w:bCs/>
                <w:sz w:val="24"/>
                <w:szCs w:val="24"/>
              </w:rPr>
            </w:pPr>
            <w:r w:rsidRPr="006230DE">
              <w:rPr>
                <w:bCs/>
                <w:sz w:val="24"/>
                <w:szCs w:val="24"/>
              </w:rPr>
              <w:t>ООО "</w:t>
            </w:r>
            <w:proofErr w:type="spellStart"/>
            <w:r w:rsidRPr="006230DE">
              <w:rPr>
                <w:bCs/>
                <w:sz w:val="24"/>
                <w:szCs w:val="24"/>
              </w:rPr>
              <w:t>Аванти</w:t>
            </w:r>
            <w:proofErr w:type="spellEnd"/>
            <w:r w:rsidRPr="006230DE">
              <w:rPr>
                <w:bCs/>
                <w:sz w:val="24"/>
                <w:szCs w:val="24"/>
              </w:rPr>
              <w:t>"</w:t>
            </w:r>
            <w:r>
              <w:rPr>
                <w:bCs/>
                <w:sz w:val="24"/>
                <w:szCs w:val="24"/>
              </w:rPr>
              <w:t>,</w:t>
            </w:r>
          </w:p>
          <w:p w:rsidR="00600A9B" w:rsidRPr="006230DE" w:rsidRDefault="00600A9B" w:rsidP="006230DE">
            <w:pPr>
              <w:jc w:val="center"/>
              <w:rPr>
                <w:bCs/>
                <w:sz w:val="24"/>
                <w:szCs w:val="24"/>
              </w:rPr>
            </w:pPr>
            <w:r w:rsidRPr="006230DE">
              <w:rPr>
                <w:bCs/>
                <w:sz w:val="24"/>
                <w:szCs w:val="24"/>
              </w:rPr>
              <w:t>ИНН 7606083600,</w:t>
            </w:r>
          </w:p>
          <w:p w:rsidR="00600A9B" w:rsidRDefault="00600A9B" w:rsidP="006230DE">
            <w:pPr>
              <w:jc w:val="center"/>
              <w:rPr>
                <w:bCs/>
                <w:sz w:val="24"/>
                <w:szCs w:val="24"/>
              </w:rPr>
            </w:pPr>
            <w:r w:rsidRPr="006230DE">
              <w:rPr>
                <w:bCs/>
                <w:sz w:val="24"/>
                <w:szCs w:val="24"/>
              </w:rPr>
              <w:t>КПП 760601001</w:t>
            </w:r>
          </w:p>
          <w:p w:rsidR="00600A9B" w:rsidRPr="006230DE" w:rsidRDefault="00600A9B" w:rsidP="006230DE">
            <w:pPr>
              <w:jc w:val="center"/>
              <w:rPr>
                <w:bCs/>
                <w:sz w:val="24"/>
                <w:szCs w:val="24"/>
              </w:rPr>
            </w:pPr>
          </w:p>
        </w:tc>
        <w:tc>
          <w:tcPr>
            <w:tcW w:w="1983"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600A9B" w:rsidRPr="006230DE" w:rsidRDefault="00600A9B" w:rsidP="00600A9B">
            <w:pPr>
              <w:jc w:val="center"/>
              <w:rPr>
                <w:bCs/>
                <w:sz w:val="24"/>
                <w:szCs w:val="24"/>
              </w:rPr>
            </w:pPr>
            <w:r w:rsidRPr="006230DE">
              <w:rPr>
                <w:bCs/>
                <w:sz w:val="24"/>
                <w:szCs w:val="24"/>
              </w:rPr>
              <w:t>1,850</w:t>
            </w:r>
          </w:p>
        </w:tc>
        <w:tc>
          <w:tcPr>
            <w:tcW w:w="1700" w:type="dxa"/>
            <w:tcBorders>
              <w:top w:val="single" w:sz="4" w:space="0" w:color="auto"/>
              <w:left w:val="nil"/>
              <w:bottom w:val="single" w:sz="8" w:space="0" w:color="auto"/>
              <w:right w:val="single" w:sz="8" w:space="0" w:color="000000"/>
            </w:tcBorders>
            <w:shd w:val="clear" w:color="auto" w:fill="auto"/>
            <w:vAlign w:val="center"/>
            <w:hideMark/>
          </w:tcPr>
          <w:p w:rsidR="00600A9B" w:rsidRPr="006230DE" w:rsidRDefault="00600A9B" w:rsidP="00600A9B">
            <w:pPr>
              <w:jc w:val="center"/>
              <w:rPr>
                <w:bCs/>
                <w:sz w:val="24"/>
                <w:szCs w:val="24"/>
              </w:rPr>
            </w:pPr>
            <w:r w:rsidRPr="006230DE">
              <w:rPr>
                <w:bCs/>
                <w:sz w:val="24"/>
                <w:szCs w:val="24"/>
              </w:rPr>
              <w:t>1</w:t>
            </w:r>
          </w:p>
        </w:tc>
      </w:tr>
    </w:tbl>
    <w:p w:rsidR="007709F0" w:rsidRDefault="007709F0" w:rsidP="006230DE">
      <w:pPr>
        <w:pStyle w:val="ad"/>
        <w:ind w:left="709"/>
        <w:jc w:val="both"/>
        <w:rPr>
          <w:szCs w:val="28"/>
        </w:rPr>
      </w:pPr>
    </w:p>
    <w:p w:rsidR="00600A9B" w:rsidRDefault="00600A9B" w:rsidP="006230DE">
      <w:pPr>
        <w:pStyle w:val="ad"/>
        <w:numPr>
          <w:ilvl w:val="1"/>
          <w:numId w:val="65"/>
        </w:numPr>
        <w:tabs>
          <w:tab w:val="left" w:pos="851"/>
        </w:tabs>
        <w:ind w:left="0" w:firstLine="709"/>
        <w:jc w:val="both"/>
        <w:rPr>
          <w:szCs w:val="28"/>
        </w:rPr>
      </w:pPr>
      <w:r w:rsidRPr="00600A9B">
        <w:rPr>
          <w:szCs w:val="28"/>
        </w:rPr>
        <w:t xml:space="preserve">признать победителем </w:t>
      </w:r>
      <w:r w:rsidR="0092466F">
        <w:rPr>
          <w:szCs w:val="28"/>
        </w:rPr>
        <w:t>открытого конкурса</w:t>
      </w:r>
      <w:r w:rsidRPr="00600A9B">
        <w:rPr>
          <w:rFonts w:eastAsia="Calibri"/>
          <w:color w:val="000000"/>
          <w:szCs w:val="28"/>
        </w:rPr>
        <w:t xml:space="preserve">                                          </w:t>
      </w:r>
      <w:r w:rsidRPr="006230DE">
        <w:rPr>
          <w:szCs w:val="28"/>
        </w:rPr>
        <w:t>ООО "</w:t>
      </w:r>
      <w:proofErr w:type="spellStart"/>
      <w:r w:rsidRPr="006230DE">
        <w:rPr>
          <w:szCs w:val="28"/>
        </w:rPr>
        <w:t>Аванти</w:t>
      </w:r>
      <w:proofErr w:type="spellEnd"/>
      <w:r w:rsidRPr="006230DE">
        <w:rPr>
          <w:szCs w:val="28"/>
        </w:rPr>
        <w:t>"</w:t>
      </w:r>
      <w:r>
        <w:t xml:space="preserve"> </w:t>
      </w:r>
      <w:r w:rsidRPr="00600A9B">
        <w:rPr>
          <w:szCs w:val="28"/>
        </w:rPr>
        <w:t>и заключить с ним договор на следующих условиях:</w:t>
      </w:r>
    </w:p>
    <w:p w:rsidR="0092466F" w:rsidRDefault="00600A9B" w:rsidP="006230DE">
      <w:pPr>
        <w:pStyle w:val="ad"/>
        <w:tabs>
          <w:tab w:val="left" w:pos="0"/>
          <w:tab w:val="left" w:pos="709"/>
        </w:tabs>
        <w:ind w:left="0" w:firstLine="709"/>
        <w:jc w:val="both"/>
        <w:rPr>
          <w:szCs w:val="28"/>
        </w:rPr>
      </w:pPr>
      <w:r w:rsidRPr="00F31631">
        <w:rPr>
          <w:b/>
          <w:color w:val="000000"/>
        </w:rPr>
        <w:t>Предмет договора:</w:t>
      </w:r>
      <w:r w:rsidRPr="00F31631">
        <w:rPr>
          <w:color w:val="000000"/>
        </w:rPr>
        <w:t xml:space="preserve"> </w:t>
      </w:r>
      <w:r w:rsidR="0092466F">
        <w:rPr>
          <w:color w:val="000000"/>
        </w:rPr>
        <w:t>выполнение работ по т</w:t>
      </w:r>
      <w:r w:rsidR="0092466F" w:rsidRPr="00D82DD2">
        <w:rPr>
          <w:szCs w:val="28"/>
        </w:rPr>
        <w:t>екущ</w:t>
      </w:r>
      <w:r w:rsidR="0092466F">
        <w:rPr>
          <w:szCs w:val="28"/>
        </w:rPr>
        <w:t>ему</w:t>
      </w:r>
      <w:r w:rsidR="0092466F" w:rsidRPr="00D82DD2">
        <w:rPr>
          <w:szCs w:val="28"/>
        </w:rPr>
        <w:t xml:space="preserve"> ремонт</w:t>
      </w:r>
      <w:r w:rsidR="0092466F">
        <w:rPr>
          <w:szCs w:val="28"/>
        </w:rPr>
        <w:t>у</w:t>
      </w:r>
      <w:r w:rsidR="0092466F" w:rsidRPr="00D82DD2">
        <w:rPr>
          <w:szCs w:val="28"/>
        </w:rPr>
        <w:t xml:space="preserve"> и техническо</w:t>
      </w:r>
      <w:r w:rsidR="0092466F">
        <w:rPr>
          <w:szCs w:val="28"/>
        </w:rPr>
        <w:t>му</w:t>
      </w:r>
      <w:r w:rsidR="0092466F" w:rsidRPr="00D82DD2">
        <w:rPr>
          <w:szCs w:val="28"/>
        </w:rPr>
        <w:t xml:space="preserve"> обслуживани</w:t>
      </w:r>
      <w:r w:rsidR="0092466F">
        <w:rPr>
          <w:szCs w:val="28"/>
        </w:rPr>
        <w:t>ю</w:t>
      </w:r>
      <w:r w:rsidR="0092466F" w:rsidRPr="00D82DD2">
        <w:rPr>
          <w:szCs w:val="28"/>
        </w:rPr>
        <w:t xml:space="preserve"> автотранспорта филиала ОАО «ТрансКонтейнер» на Северной железной дороге</w:t>
      </w:r>
      <w:r w:rsidR="0092466F">
        <w:rPr>
          <w:szCs w:val="28"/>
        </w:rPr>
        <w:t>.</w:t>
      </w:r>
    </w:p>
    <w:p w:rsidR="0092466F" w:rsidRDefault="0092466F" w:rsidP="0092466F">
      <w:pPr>
        <w:numPr>
          <w:ilvl w:val="2"/>
          <w:numId w:val="0"/>
        </w:numPr>
        <w:tabs>
          <w:tab w:val="num" w:pos="1985"/>
        </w:tabs>
        <w:spacing w:line="247" w:lineRule="auto"/>
        <w:ind w:firstLine="709"/>
        <w:jc w:val="both"/>
        <w:rPr>
          <w:szCs w:val="28"/>
        </w:rPr>
      </w:pPr>
      <w:r w:rsidRPr="00F34BE2">
        <w:rPr>
          <w:b/>
          <w:szCs w:val="28"/>
        </w:rPr>
        <w:t>Цена договор</w:t>
      </w:r>
      <w:r>
        <w:rPr>
          <w:b/>
          <w:szCs w:val="28"/>
        </w:rPr>
        <w:t>а</w:t>
      </w:r>
      <w:r w:rsidRPr="00F34BE2">
        <w:rPr>
          <w:b/>
          <w:szCs w:val="28"/>
        </w:rPr>
        <w:t>:</w:t>
      </w:r>
      <w:r w:rsidRPr="00F34BE2">
        <w:rPr>
          <w:szCs w:val="28"/>
        </w:rPr>
        <w:t xml:space="preserve"> </w:t>
      </w:r>
      <w:r>
        <w:rPr>
          <w:szCs w:val="28"/>
        </w:rPr>
        <w:t>о</w:t>
      </w:r>
      <w:r w:rsidRPr="000D1F7E">
        <w:rPr>
          <w:szCs w:val="28"/>
        </w:rPr>
        <w:t>бщая цена договора складывается из стоимости подписанных заявок</w:t>
      </w:r>
      <w:r>
        <w:rPr>
          <w:szCs w:val="28"/>
        </w:rPr>
        <w:t xml:space="preserve">, рассчитываемой в соответствии со стоимостью нормо-часа работ в размере </w:t>
      </w:r>
      <w:r w:rsidRPr="003F5F84">
        <w:rPr>
          <w:szCs w:val="28"/>
        </w:rPr>
        <w:t xml:space="preserve">805,08 </w:t>
      </w:r>
      <w:r>
        <w:rPr>
          <w:szCs w:val="28"/>
        </w:rPr>
        <w:t xml:space="preserve">руб. (восемьсот пять рублей </w:t>
      </w:r>
      <w:r w:rsidR="00236DC1">
        <w:rPr>
          <w:szCs w:val="28"/>
        </w:rPr>
        <w:t>0</w:t>
      </w:r>
      <w:r>
        <w:rPr>
          <w:szCs w:val="28"/>
        </w:rPr>
        <w:t>8 копеек) без учета НДС</w:t>
      </w:r>
      <w:r w:rsidRPr="000D1F7E">
        <w:rPr>
          <w:szCs w:val="28"/>
        </w:rPr>
        <w:t>.</w:t>
      </w:r>
      <w:r w:rsidRPr="00AD764A">
        <w:rPr>
          <w:szCs w:val="28"/>
        </w:rPr>
        <w:t xml:space="preserve"> </w:t>
      </w:r>
    </w:p>
    <w:p w:rsidR="0092466F" w:rsidRDefault="0092466F" w:rsidP="0092466F">
      <w:pPr>
        <w:numPr>
          <w:ilvl w:val="2"/>
          <w:numId w:val="0"/>
        </w:numPr>
        <w:tabs>
          <w:tab w:val="num" w:pos="1985"/>
        </w:tabs>
        <w:spacing w:line="247" w:lineRule="auto"/>
        <w:ind w:firstLine="709"/>
        <w:jc w:val="both"/>
        <w:rPr>
          <w:szCs w:val="28"/>
        </w:rPr>
      </w:pPr>
      <w:r w:rsidRPr="00D82DD2">
        <w:rPr>
          <w:szCs w:val="28"/>
        </w:rPr>
        <w:t>Общая цена договор</w:t>
      </w:r>
      <w:r>
        <w:rPr>
          <w:szCs w:val="28"/>
        </w:rPr>
        <w:t>а</w:t>
      </w:r>
      <w:r w:rsidRPr="00D82DD2">
        <w:rPr>
          <w:szCs w:val="28"/>
        </w:rPr>
        <w:t xml:space="preserve"> не может превышать  3 720 000,00  руб. (Три миллиона семьсот двадцать тысяч рублей 00 копеек) без учета НДС 18%. НДС по ставке 18%</w:t>
      </w:r>
      <w:r>
        <w:rPr>
          <w:szCs w:val="28"/>
        </w:rPr>
        <w:t xml:space="preserve"> </w:t>
      </w:r>
      <w:r w:rsidRPr="00D82DD2">
        <w:rPr>
          <w:szCs w:val="28"/>
        </w:rPr>
        <w:t>начисляется отдельно.</w:t>
      </w:r>
    </w:p>
    <w:p w:rsidR="0092466F" w:rsidRDefault="00600A9B" w:rsidP="005535A5">
      <w:pPr>
        <w:pStyle w:val="ad"/>
        <w:tabs>
          <w:tab w:val="left" w:pos="0"/>
          <w:tab w:val="left" w:pos="709"/>
        </w:tabs>
        <w:ind w:left="0" w:firstLine="709"/>
        <w:jc w:val="both"/>
      </w:pPr>
      <w:r w:rsidRPr="005535A5">
        <w:rPr>
          <w:b/>
          <w:iCs/>
        </w:rPr>
        <w:t xml:space="preserve">Форма, сроки и порядок оплаты: </w:t>
      </w:r>
      <w:r w:rsidR="005535A5" w:rsidRPr="005535A5">
        <w:rPr>
          <w:szCs w:val="28"/>
        </w:rPr>
        <w:t>оплата работ осуществляется</w:t>
      </w:r>
      <w:r w:rsidR="005535A5" w:rsidRPr="005535A5">
        <w:rPr>
          <w:b/>
          <w:szCs w:val="28"/>
        </w:rPr>
        <w:t xml:space="preserve"> </w:t>
      </w:r>
      <w:r w:rsidR="005535A5" w:rsidRPr="005535A5">
        <w:t xml:space="preserve">в течение 45 (сорока пяти) календарных дней с момента получения счета, выставленного после подписания сторонами акта </w:t>
      </w:r>
      <w:r w:rsidR="005535A5" w:rsidRPr="005535A5">
        <w:rPr>
          <w:bCs/>
        </w:rPr>
        <w:t>приема-сдачи работ</w:t>
      </w:r>
      <w:r w:rsidR="005535A5" w:rsidRPr="005535A5">
        <w:t>.</w:t>
      </w:r>
      <w:r w:rsidR="005535A5" w:rsidRPr="003E1CFB">
        <w:t xml:space="preserve"> </w:t>
      </w:r>
    </w:p>
    <w:p w:rsidR="006133AB" w:rsidRPr="006230DE" w:rsidRDefault="006133AB" w:rsidP="006230DE">
      <w:pPr>
        <w:pStyle w:val="Default"/>
        <w:tabs>
          <w:tab w:val="left" w:pos="0"/>
        </w:tabs>
        <w:ind w:firstLine="709"/>
        <w:jc w:val="both"/>
        <w:rPr>
          <w:sz w:val="28"/>
          <w:szCs w:val="28"/>
        </w:rPr>
      </w:pPr>
      <w:r>
        <w:rPr>
          <w:b/>
          <w:sz w:val="28"/>
          <w:szCs w:val="28"/>
        </w:rPr>
        <w:t xml:space="preserve">Гарантийный срок: </w:t>
      </w:r>
      <w:r w:rsidRPr="006230DE">
        <w:rPr>
          <w:sz w:val="28"/>
          <w:szCs w:val="28"/>
        </w:rPr>
        <w:t xml:space="preserve">на смазочные и регулировочные работы – 30 календарных дней; </w:t>
      </w:r>
      <w:r>
        <w:rPr>
          <w:sz w:val="28"/>
          <w:szCs w:val="28"/>
        </w:rPr>
        <w:t>на замену агрегатов или их ремонт – 180 календарных дней при условии соблюдения правил эксплуатации автомобиля; на электротехнические работы – 30 календарных дней.</w:t>
      </w:r>
    </w:p>
    <w:p w:rsidR="0092466F" w:rsidRDefault="0092466F" w:rsidP="0092466F">
      <w:pPr>
        <w:numPr>
          <w:ilvl w:val="2"/>
          <w:numId w:val="0"/>
        </w:numPr>
        <w:tabs>
          <w:tab w:val="num" w:pos="1985"/>
        </w:tabs>
        <w:spacing w:line="247" w:lineRule="auto"/>
        <w:ind w:firstLine="709"/>
        <w:jc w:val="both"/>
        <w:rPr>
          <w:b/>
          <w:szCs w:val="28"/>
        </w:rPr>
      </w:pPr>
      <w:r>
        <w:rPr>
          <w:b/>
          <w:szCs w:val="28"/>
        </w:rPr>
        <w:t xml:space="preserve">Место выполнения работ: </w:t>
      </w:r>
      <w:r w:rsidRPr="00F34BE2">
        <w:rPr>
          <w:szCs w:val="28"/>
        </w:rPr>
        <w:t>г.</w:t>
      </w:r>
      <w:r>
        <w:rPr>
          <w:szCs w:val="28"/>
        </w:rPr>
        <w:t xml:space="preserve"> </w:t>
      </w:r>
      <w:r w:rsidRPr="00F34BE2">
        <w:rPr>
          <w:szCs w:val="28"/>
        </w:rPr>
        <w:t>Ярославль</w:t>
      </w:r>
      <w:r>
        <w:rPr>
          <w:szCs w:val="28"/>
        </w:rPr>
        <w:t>.</w:t>
      </w:r>
    </w:p>
    <w:p w:rsidR="0092466F" w:rsidRPr="00574D14" w:rsidRDefault="0092466F" w:rsidP="0092466F">
      <w:pPr>
        <w:jc w:val="both"/>
        <w:rPr>
          <w:szCs w:val="28"/>
          <w:highlight w:val="yellow"/>
        </w:rPr>
      </w:pPr>
      <w:r>
        <w:rPr>
          <w:b/>
          <w:szCs w:val="28"/>
        </w:rPr>
        <w:lastRenderedPageBreak/>
        <w:tab/>
      </w:r>
      <w:r w:rsidRPr="00F34BE2">
        <w:rPr>
          <w:b/>
          <w:szCs w:val="28"/>
        </w:rPr>
        <w:t xml:space="preserve">Срок </w:t>
      </w:r>
      <w:r>
        <w:rPr>
          <w:b/>
          <w:szCs w:val="28"/>
        </w:rPr>
        <w:t xml:space="preserve">выполнения </w:t>
      </w:r>
      <w:r w:rsidRPr="003F5F84">
        <w:rPr>
          <w:b/>
          <w:szCs w:val="28"/>
        </w:rPr>
        <w:t>работ</w:t>
      </w:r>
      <w:r w:rsidRPr="00F34BE2">
        <w:rPr>
          <w:b/>
          <w:szCs w:val="28"/>
        </w:rPr>
        <w:t>:</w:t>
      </w:r>
      <w:r w:rsidRPr="00F34BE2">
        <w:rPr>
          <w:szCs w:val="28"/>
        </w:rPr>
        <w:t xml:space="preserve"> </w:t>
      </w:r>
      <w:r>
        <w:rPr>
          <w:szCs w:val="28"/>
        </w:rPr>
        <w:t>с</w:t>
      </w:r>
      <w:r w:rsidRPr="00173059">
        <w:rPr>
          <w:szCs w:val="28"/>
        </w:rPr>
        <w:t xml:space="preserve"> даты подписания договора по 31 декабря 2014г.</w:t>
      </w:r>
    </w:p>
    <w:p w:rsidR="0092466F" w:rsidRDefault="0092466F" w:rsidP="0092466F">
      <w:pPr>
        <w:jc w:val="both"/>
        <w:rPr>
          <w:szCs w:val="28"/>
        </w:rPr>
      </w:pPr>
      <w:r>
        <w:rPr>
          <w:b/>
          <w:szCs w:val="28"/>
        </w:rPr>
        <w:tab/>
      </w:r>
      <w:r w:rsidRPr="00F34BE2">
        <w:rPr>
          <w:b/>
          <w:szCs w:val="28"/>
        </w:rPr>
        <w:t>Срок действия договора:</w:t>
      </w:r>
      <w:r w:rsidRPr="00F34BE2">
        <w:rPr>
          <w:szCs w:val="28"/>
        </w:rPr>
        <w:t xml:space="preserve"> </w:t>
      </w:r>
      <w:r>
        <w:rPr>
          <w:szCs w:val="28"/>
        </w:rPr>
        <w:t>с</w:t>
      </w:r>
      <w:r w:rsidRPr="00173059">
        <w:rPr>
          <w:szCs w:val="28"/>
        </w:rPr>
        <w:t xml:space="preserve"> даты подписания договора по 31 декабря 2014г.</w:t>
      </w:r>
    </w:p>
    <w:p w:rsidR="006133AB" w:rsidRPr="0092466F" w:rsidRDefault="006133AB" w:rsidP="0092466F">
      <w:pPr>
        <w:pStyle w:val="ad"/>
        <w:numPr>
          <w:ilvl w:val="0"/>
          <w:numId w:val="65"/>
        </w:numPr>
        <w:ind w:left="0" w:firstLine="709"/>
        <w:jc w:val="both"/>
        <w:rPr>
          <w:szCs w:val="28"/>
        </w:rPr>
      </w:pPr>
      <w:r w:rsidRPr="0092466F">
        <w:rPr>
          <w:szCs w:val="28"/>
        </w:rPr>
        <w:t>Поручить директору филиала ОАО «ТрансКонтейнер» на Северной железной дороге Максимову Н.С.</w:t>
      </w:r>
      <w:r w:rsidRPr="0092466F">
        <w:rPr>
          <w:bCs/>
          <w:snapToGrid w:val="0"/>
          <w:szCs w:val="28"/>
        </w:rPr>
        <w:t>:</w:t>
      </w:r>
    </w:p>
    <w:p w:rsidR="006133AB" w:rsidRPr="00DF7658" w:rsidRDefault="006133AB" w:rsidP="006133AB">
      <w:pPr>
        <w:pStyle w:val="ad"/>
        <w:numPr>
          <w:ilvl w:val="1"/>
          <w:numId w:val="66"/>
        </w:numPr>
        <w:ind w:left="0" w:firstLine="709"/>
        <w:jc w:val="both"/>
        <w:rPr>
          <w:szCs w:val="28"/>
        </w:rPr>
      </w:pPr>
      <w:r w:rsidRPr="00753493">
        <w:rPr>
          <w:szCs w:val="28"/>
        </w:rPr>
        <w:t>уведомить</w:t>
      </w:r>
      <w:r w:rsidRPr="00C51773">
        <w:t xml:space="preserve"> </w:t>
      </w:r>
      <w:r w:rsidRPr="00E53DB3">
        <w:rPr>
          <w:szCs w:val="28"/>
        </w:rPr>
        <w:t>ООО "</w:t>
      </w:r>
      <w:proofErr w:type="spellStart"/>
      <w:r w:rsidRPr="00E53DB3">
        <w:rPr>
          <w:szCs w:val="28"/>
        </w:rPr>
        <w:t>Аванти</w:t>
      </w:r>
      <w:proofErr w:type="spellEnd"/>
      <w:r w:rsidRPr="00E53DB3">
        <w:rPr>
          <w:szCs w:val="28"/>
        </w:rPr>
        <w:t>"</w:t>
      </w:r>
      <w:r>
        <w:rPr>
          <w:szCs w:val="28"/>
        </w:rPr>
        <w:t xml:space="preserve"> </w:t>
      </w:r>
      <w:r w:rsidRPr="00DF7658">
        <w:rPr>
          <w:szCs w:val="27"/>
        </w:rPr>
        <w:t xml:space="preserve">о принятом </w:t>
      </w:r>
      <w:r w:rsidRPr="00DF7658">
        <w:rPr>
          <w:szCs w:val="28"/>
        </w:rPr>
        <w:t xml:space="preserve">Конкурсной комиссией </w:t>
      </w:r>
      <w:r>
        <w:rPr>
          <w:szCs w:val="28"/>
        </w:rPr>
        <w:t xml:space="preserve">              </w:t>
      </w:r>
      <w:r w:rsidRPr="00DF7658">
        <w:rPr>
          <w:szCs w:val="28"/>
        </w:rPr>
        <w:t>ОАО «ТрансКонтейнер» решении;</w:t>
      </w:r>
    </w:p>
    <w:p w:rsidR="006133AB" w:rsidRPr="00C51773" w:rsidRDefault="006133AB" w:rsidP="006133AB">
      <w:pPr>
        <w:ind w:firstLine="709"/>
        <w:jc w:val="both"/>
        <w:rPr>
          <w:szCs w:val="28"/>
        </w:rPr>
      </w:pPr>
      <w:r w:rsidRPr="00C51773">
        <w:rPr>
          <w:szCs w:val="28"/>
        </w:rPr>
        <w:t xml:space="preserve">4.2 обеспечить установленным порядком заключение договора с                      </w:t>
      </w:r>
      <w:r w:rsidRPr="00E53DB3">
        <w:rPr>
          <w:szCs w:val="28"/>
        </w:rPr>
        <w:t>ООО "</w:t>
      </w:r>
      <w:proofErr w:type="spellStart"/>
      <w:r w:rsidRPr="00E53DB3">
        <w:rPr>
          <w:szCs w:val="28"/>
        </w:rPr>
        <w:t>Аванти</w:t>
      </w:r>
      <w:proofErr w:type="spellEnd"/>
      <w:r w:rsidRPr="00E53DB3">
        <w:rPr>
          <w:szCs w:val="28"/>
        </w:rPr>
        <w:t>"</w:t>
      </w:r>
      <w:r w:rsidRPr="00C51773">
        <w:rPr>
          <w:szCs w:val="28"/>
        </w:rPr>
        <w:t>.</w:t>
      </w:r>
    </w:p>
    <w:p w:rsidR="00600A9B" w:rsidRPr="00600A9B" w:rsidRDefault="00600A9B" w:rsidP="006230DE">
      <w:pPr>
        <w:pStyle w:val="ad"/>
        <w:tabs>
          <w:tab w:val="left" w:pos="851"/>
        </w:tabs>
        <w:ind w:left="709"/>
        <w:jc w:val="both"/>
        <w:rPr>
          <w:szCs w:val="28"/>
        </w:rPr>
      </w:pPr>
    </w:p>
    <w:p w:rsidR="00E4529C" w:rsidRPr="0022546F" w:rsidRDefault="0022546F" w:rsidP="007B615A">
      <w:pPr>
        <w:pStyle w:val="ad"/>
        <w:ind w:left="709"/>
        <w:jc w:val="both"/>
        <w:rPr>
          <w:szCs w:val="28"/>
          <w:lang w:val="en-US"/>
        </w:rPr>
      </w:pPr>
      <w:r w:rsidRPr="0022546F">
        <w:rPr>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256A">
            <w:pPr>
              <w:pStyle w:val="a6"/>
              <w:tabs>
                <w:tab w:val="left" w:pos="0"/>
              </w:tabs>
            </w:pPr>
            <w:r w:rsidRPr="00CF45A9">
              <w:rPr>
                <w:i w:val="0"/>
              </w:rPr>
              <w:t>«</w:t>
            </w:r>
            <w:r w:rsidR="004D256A" w:rsidRPr="004D256A">
              <w:rPr>
                <w:i w:val="0"/>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753493" w:rsidRPr="00373BCA" w:rsidRDefault="00753493" w:rsidP="0022546F">
      <w:pPr>
        <w:jc w:val="right"/>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8D" w:rsidRDefault="00F22F8D" w:rsidP="00B470FA">
      <w:r>
        <w:separator/>
      </w:r>
    </w:p>
  </w:endnote>
  <w:endnote w:type="continuationSeparator" w:id="1">
    <w:p w:rsidR="00F22F8D" w:rsidRDefault="00F22F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8D" w:rsidRDefault="00F22F8D" w:rsidP="00B470FA">
      <w:r>
        <w:separator/>
      </w:r>
    </w:p>
  </w:footnote>
  <w:footnote w:type="continuationSeparator" w:id="1">
    <w:p w:rsidR="00F22F8D" w:rsidRDefault="00F22F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931314"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22546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3">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F6443160"/>
    <w:lvl w:ilvl="0" w:tplc="49A00298">
      <w:start w:val="4"/>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10"/>
  </w:num>
  <w:num w:numId="5">
    <w:abstractNumId w:val="9"/>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9"/>
  </w:num>
  <w:num w:numId="13">
    <w:abstractNumId w:val="64"/>
  </w:num>
  <w:num w:numId="14">
    <w:abstractNumId w:val="34"/>
  </w:num>
  <w:num w:numId="15">
    <w:abstractNumId w:val="59"/>
  </w:num>
  <w:num w:numId="16">
    <w:abstractNumId w:val="42"/>
  </w:num>
  <w:num w:numId="17">
    <w:abstractNumId w:val="64"/>
  </w:num>
  <w:num w:numId="18">
    <w:abstractNumId w:val="24"/>
  </w:num>
  <w:num w:numId="19">
    <w:abstractNumId w:val="31"/>
  </w:num>
  <w:num w:numId="20">
    <w:abstractNumId w:val="69"/>
  </w:num>
  <w:num w:numId="21">
    <w:abstractNumId w:val="47"/>
  </w:num>
  <w:num w:numId="22">
    <w:abstractNumId w:val="21"/>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8"/>
  </w:num>
  <w:num w:numId="30">
    <w:abstractNumId w:val="15"/>
  </w:num>
  <w:num w:numId="31">
    <w:abstractNumId w:val="25"/>
  </w:num>
  <w:num w:numId="32">
    <w:abstractNumId w:val="23"/>
  </w:num>
  <w:num w:numId="33">
    <w:abstractNumId w:val="13"/>
  </w:num>
  <w:num w:numId="34">
    <w:abstractNumId w:val="52"/>
  </w:num>
  <w:num w:numId="35">
    <w:abstractNumId w:val="41"/>
  </w:num>
  <w:num w:numId="36">
    <w:abstractNumId w:val="18"/>
  </w:num>
  <w:num w:numId="37">
    <w:abstractNumId w:val="16"/>
  </w:num>
  <w:num w:numId="38">
    <w:abstractNumId w:val="39"/>
  </w:num>
  <w:num w:numId="39">
    <w:abstractNumId w:val="33"/>
  </w:num>
  <w:num w:numId="40">
    <w:abstractNumId w:val="55"/>
  </w:num>
  <w:num w:numId="41">
    <w:abstractNumId w:val="32"/>
  </w:num>
  <w:num w:numId="42">
    <w:abstractNumId w:val="8"/>
  </w:num>
  <w:num w:numId="43">
    <w:abstractNumId w:val="14"/>
  </w:num>
  <w:num w:numId="44">
    <w:abstractNumId w:val="30"/>
  </w:num>
  <w:num w:numId="45">
    <w:abstractNumId w:val="53"/>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6"/>
  </w:num>
  <w:num w:numId="52">
    <w:abstractNumId w:val="70"/>
  </w:num>
  <w:num w:numId="53">
    <w:abstractNumId w:val="27"/>
  </w:num>
  <w:num w:numId="54">
    <w:abstractNumId w:val="66"/>
  </w:num>
  <w:num w:numId="55">
    <w:abstractNumId w:val="11"/>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7"/>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46F"/>
    <w:rsid w:val="002255C3"/>
    <w:rsid w:val="00225F08"/>
    <w:rsid w:val="00230CF8"/>
    <w:rsid w:val="002315DF"/>
    <w:rsid w:val="00233386"/>
    <w:rsid w:val="0023373E"/>
    <w:rsid w:val="0023389D"/>
    <w:rsid w:val="00233929"/>
    <w:rsid w:val="00233971"/>
    <w:rsid w:val="002342D8"/>
    <w:rsid w:val="002352ED"/>
    <w:rsid w:val="0023684C"/>
    <w:rsid w:val="00236DC1"/>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BA5"/>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1C17"/>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56A"/>
    <w:rsid w:val="004D2845"/>
    <w:rsid w:val="004D295F"/>
    <w:rsid w:val="004D3263"/>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5A5"/>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7AB"/>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66F"/>
    <w:rsid w:val="0092543D"/>
    <w:rsid w:val="00925688"/>
    <w:rsid w:val="009261C5"/>
    <w:rsid w:val="00926381"/>
    <w:rsid w:val="00926E61"/>
    <w:rsid w:val="0092709A"/>
    <w:rsid w:val="00927268"/>
    <w:rsid w:val="00927639"/>
    <w:rsid w:val="00931160"/>
    <w:rsid w:val="00931314"/>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D98"/>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B9F"/>
    <w:rsid w:val="00D11702"/>
    <w:rsid w:val="00D11E15"/>
    <w:rsid w:val="00D12428"/>
    <w:rsid w:val="00D12E1B"/>
    <w:rsid w:val="00D12E8D"/>
    <w:rsid w:val="00D14C36"/>
    <w:rsid w:val="00D14F68"/>
    <w:rsid w:val="00D169AE"/>
    <w:rsid w:val="00D173B6"/>
    <w:rsid w:val="00D17A37"/>
    <w:rsid w:val="00D17B6D"/>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063"/>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2F8D"/>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37D8-05D9-43BB-8B9F-29BA293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2014-04-23T15:45:00Z</dcterms:created>
  <dcterms:modified xsi:type="dcterms:W3CDTF">2014-04-23T15:45:00Z</dcterms:modified>
</cp:coreProperties>
</file>