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F106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22</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B9531C" w:rsidRDefault="00070E24" w:rsidP="00B9531C">
      <w:pPr>
        <w:pStyle w:val="26"/>
        <w:tabs>
          <w:tab w:val="left" w:pos="708"/>
        </w:tabs>
        <w:spacing w:after="0"/>
        <w:ind w:left="720"/>
        <w:rPr>
          <w:rFonts w:ascii="Times New Roman" w:hAnsi="Times New Roman"/>
          <w:sz w:val="28"/>
          <w:szCs w:val="28"/>
        </w:rPr>
      </w:pPr>
      <w:r>
        <w:rPr>
          <w:rFonts w:ascii="Times New Roman" w:hAnsi="Times New Roman"/>
          <w:sz w:val="28"/>
          <w:szCs w:val="28"/>
        </w:rPr>
        <w:t>….</w:t>
      </w:r>
    </w:p>
    <w:p w:rsidR="00B9531C" w:rsidRPr="00B9531C" w:rsidRDefault="00B9531C" w:rsidP="00B9531C">
      <w:pPr>
        <w:jc w:val="both"/>
        <w:rPr>
          <w:szCs w:val="28"/>
        </w:rPr>
      </w:pPr>
    </w:p>
    <w:p w:rsidR="00B9531C" w:rsidRPr="00B9531C" w:rsidRDefault="00B9531C" w:rsidP="00B9531C">
      <w:pPr>
        <w:pStyle w:val="26"/>
        <w:numPr>
          <w:ilvl w:val="0"/>
          <w:numId w:val="69"/>
        </w:numPr>
        <w:tabs>
          <w:tab w:val="left" w:pos="708"/>
        </w:tabs>
        <w:spacing w:after="0"/>
        <w:jc w:val="both"/>
        <w:rPr>
          <w:rFonts w:ascii="Times New Roman" w:hAnsi="Times New Roman"/>
          <w:sz w:val="28"/>
          <w:szCs w:val="28"/>
        </w:rPr>
      </w:pPr>
      <w:r w:rsidRPr="00B9531C">
        <w:rPr>
          <w:rFonts w:ascii="Times New Roman" w:hAnsi="Times New Roman"/>
          <w:sz w:val="28"/>
          <w:szCs w:val="28"/>
        </w:rPr>
        <w:t xml:space="preserve">Подведение итогов открытого конкурса в электронной форме </w:t>
      </w:r>
      <w:r w:rsidRPr="00B9531C">
        <w:rPr>
          <w:rFonts w:ascii="Times New Roman" w:hAnsi="Times New Roman"/>
          <w:sz w:val="28"/>
          <w:szCs w:val="28"/>
        </w:rPr>
        <w:br/>
        <w:t xml:space="preserve">на право заключения договора на оказание информационных услуг с использованием справочно-правовой системы </w:t>
      </w:r>
      <w:proofErr w:type="spellStart"/>
      <w:r w:rsidRPr="00B9531C">
        <w:rPr>
          <w:rFonts w:ascii="Times New Roman" w:hAnsi="Times New Roman"/>
          <w:sz w:val="28"/>
          <w:szCs w:val="28"/>
        </w:rPr>
        <w:t>КонсультантПлюс</w:t>
      </w:r>
      <w:proofErr w:type="spellEnd"/>
      <w:r w:rsidRPr="00B9531C">
        <w:rPr>
          <w:rFonts w:ascii="Times New Roman" w:hAnsi="Times New Roman"/>
          <w:sz w:val="28"/>
          <w:szCs w:val="28"/>
        </w:rPr>
        <w:t xml:space="preserve"> </w:t>
      </w:r>
      <w:r>
        <w:rPr>
          <w:rFonts w:ascii="Times New Roman" w:hAnsi="Times New Roman"/>
          <w:sz w:val="28"/>
          <w:szCs w:val="28"/>
        </w:rPr>
        <w:t xml:space="preserve">                </w:t>
      </w:r>
      <w:r w:rsidRPr="00B9531C">
        <w:rPr>
          <w:rFonts w:ascii="Times New Roman" w:hAnsi="Times New Roman"/>
          <w:sz w:val="28"/>
          <w:szCs w:val="28"/>
        </w:rPr>
        <w:t>в 2014-2015 гг.</w:t>
      </w:r>
    </w:p>
    <w:p w:rsidR="00B9531C" w:rsidRPr="00B9531C" w:rsidRDefault="00B9531C" w:rsidP="00B9531C">
      <w:pPr>
        <w:ind w:left="720"/>
        <w:jc w:val="both"/>
        <w:rPr>
          <w:szCs w:val="28"/>
        </w:rPr>
      </w:pPr>
      <w:r w:rsidRPr="00B9531C">
        <w:rPr>
          <w:szCs w:val="28"/>
        </w:rPr>
        <w:t>Докладчик: ЦКПИТ Шлык А.А.</w:t>
      </w:r>
    </w:p>
    <w:p w:rsidR="00B9531C" w:rsidRPr="00B9531C" w:rsidRDefault="00B9531C" w:rsidP="00B9531C">
      <w:pPr>
        <w:ind w:left="709"/>
        <w:jc w:val="both"/>
        <w:rPr>
          <w:szCs w:val="28"/>
        </w:rPr>
      </w:pPr>
      <w:r w:rsidRPr="00B9531C">
        <w:rPr>
          <w:szCs w:val="28"/>
        </w:rPr>
        <w:t>Заявки в АСБК: Т10045894, Т10045884.</w:t>
      </w:r>
    </w:p>
    <w:p w:rsidR="00B9531C" w:rsidRPr="002E3072" w:rsidRDefault="00B9531C" w:rsidP="00B9531C">
      <w:pPr>
        <w:ind w:left="709"/>
        <w:jc w:val="both"/>
        <w:rPr>
          <w:szCs w:val="28"/>
        </w:rPr>
      </w:pPr>
      <w:r w:rsidRPr="00B9531C">
        <w:rPr>
          <w:szCs w:val="28"/>
        </w:rPr>
        <w:t xml:space="preserve">Конкурс: </w:t>
      </w:r>
      <w:proofErr w:type="spellStart"/>
      <w:r w:rsidRPr="00B9531C">
        <w:rPr>
          <w:szCs w:val="28"/>
        </w:rPr>
        <w:t>ОКэ</w:t>
      </w:r>
      <w:proofErr w:type="spellEnd"/>
      <w:r w:rsidRPr="00B9531C">
        <w:rPr>
          <w:szCs w:val="28"/>
        </w:rPr>
        <w:t>/004/ЦКПИТ/0013</w:t>
      </w:r>
    </w:p>
    <w:p w:rsidR="002A34CD" w:rsidRDefault="002A34CD" w:rsidP="002A34CD">
      <w:pPr>
        <w:ind w:left="709"/>
        <w:rPr>
          <w:i/>
          <w:sz w:val="26"/>
          <w:szCs w:val="26"/>
        </w:rPr>
      </w:pPr>
    </w:p>
    <w:p w:rsidR="002C23A8" w:rsidRPr="002E3072" w:rsidRDefault="002E3072" w:rsidP="002C23A8">
      <w:pPr>
        <w:ind w:firstLine="709"/>
        <w:jc w:val="both"/>
        <w:rPr>
          <w:szCs w:val="28"/>
        </w:rPr>
      </w:pPr>
      <w:r w:rsidRPr="002E3072">
        <w:rPr>
          <w:szCs w:val="28"/>
        </w:rPr>
        <w:t>….</w:t>
      </w:r>
    </w:p>
    <w:p w:rsidR="00D7267C" w:rsidRPr="00280B0E" w:rsidRDefault="00D7267C" w:rsidP="00280B0E">
      <w:pPr>
        <w:jc w:val="both"/>
        <w:rPr>
          <w:b/>
          <w:szCs w:val="28"/>
        </w:rPr>
      </w:pPr>
    </w:p>
    <w:p w:rsidR="00A046D4" w:rsidRDefault="00A046D4" w:rsidP="00A046D4">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0702E7" w:rsidRDefault="000702E7" w:rsidP="00A046D4">
      <w:pPr>
        <w:pStyle w:val="ad"/>
        <w:ind w:left="709"/>
        <w:jc w:val="both"/>
        <w:rPr>
          <w:b/>
          <w:szCs w:val="28"/>
        </w:rPr>
      </w:pPr>
      <w:r>
        <w:rPr>
          <w:b/>
          <w:szCs w:val="28"/>
        </w:rPr>
        <w:t>Лот №1</w:t>
      </w:r>
    </w:p>
    <w:p w:rsidR="004541DA" w:rsidRDefault="006C3FA6">
      <w:pPr>
        <w:pStyle w:val="26"/>
        <w:numPr>
          <w:ilvl w:val="0"/>
          <w:numId w:val="70"/>
        </w:numPr>
        <w:tabs>
          <w:tab w:val="left" w:pos="708"/>
        </w:tabs>
        <w:spacing w:after="0"/>
        <w:ind w:left="0" w:firstLine="709"/>
        <w:jc w:val="both"/>
        <w:rPr>
          <w:rFonts w:ascii="Times New Roman" w:hAnsi="Times New Roman"/>
          <w:sz w:val="28"/>
          <w:szCs w:val="28"/>
        </w:rPr>
      </w:pPr>
      <w:r w:rsidRPr="006C3FA6">
        <w:rPr>
          <w:rFonts w:ascii="Times New Roman" w:hAnsi="Times New Roman"/>
          <w:sz w:val="28"/>
          <w:szCs w:val="28"/>
        </w:rPr>
        <w:t>Открыты</w:t>
      </w:r>
      <w:r w:rsidRPr="000702E7">
        <w:rPr>
          <w:rFonts w:ascii="Times New Roman" w:hAnsi="Times New Roman"/>
          <w:sz w:val="28"/>
          <w:szCs w:val="28"/>
        </w:rPr>
        <w:t xml:space="preserve">й конкурс № ОКэ/004/ЦКПИТ/0013 в электронной форме </w:t>
      </w:r>
      <w:r w:rsidRPr="000702E7">
        <w:rPr>
          <w:rFonts w:ascii="Times New Roman" w:hAnsi="Times New Roman"/>
          <w:sz w:val="28"/>
          <w:szCs w:val="28"/>
        </w:rPr>
        <w:br/>
        <w:t>на право заключения договора на оказание информационных услуг с использованием справочно-правовой системы КонсультантПлюс</w:t>
      </w:r>
      <w:r>
        <w:rPr>
          <w:rFonts w:ascii="Times New Roman" w:hAnsi="Times New Roman"/>
          <w:sz w:val="28"/>
          <w:szCs w:val="28"/>
        </w:rPr>
        <w:t xml:space="preserve"> </w:t>
      </w:r>
      <w:r w:rsidRPr="006C3FA6">
        <w:rPr>
          <w:rFonts w:ascii="Times New Roman" w:hAnsi="Times New Roman"/>
          <w:sz w:val="28"/>
          <w:szCs w:val="28"/>
        </w:rPr>
        <w:t>в 2014-2015 гг.</w:t>
      </w:r>
      <w:r w:rsidRPr="000702E7">
        <w:rPr>
          <w:rFonts w:ascii="Times New Roman" w:hAnsi="Times New Roman"/>
          <w:sz w:val="28"/>
          <w:szCs w:val="28"/>
        </w:rPr>
        <w:t xml:space="preserve"> по Лоту №1 признан </w:t>
      </w:r>
      <w:r w:rsidR="002D045D" w:rsidRPr="002D045D">
        <w:rPr>
          <w:rFonts w:ascii="Times New Roman" w:hAnsi="Times New Roman"/>
          <w:sz w:val="28"/>
          <w:szCs w:val="28"/>
        </w:rPr>
        <w:t xml:space="preserve">несостоявшимся на основании подпункта 2 пункта 140 </w:t>
      </w:r>
      <w:r w:rsidR="002D045D" w:rsidRPr="002D045D">
        <w:rPr>
          <w:rFonts w:ascii="Times New Roman" w:hAnsi="Times New Roman"/>
          <w:sz w:val="28"/>
          <w:szCs w:val="28"/>
        </w:rPr>
        <w:lastRenderedPageBreak/>
        <w:t>Положения о закупках и подпункта 2 пункта 2.9.10. документации о закупке (на участие в конкурсе подана одна Заявка).</w:t>
      </w:r>
    </w:p>
    <w:p w:rsidR="004541DA" w:rsidRDefault="007709F0">
      <w:pPr>
        <w:pStyle w:val="ad"/>
        <w:numPr>
          <w:ilvl w:val="0"/>
          <w:numId w:val="70"/>
        </w:numPr>
        <w:ind w:left="0" w:firstLine="709"/>
        <w:jc w:val="both"/>
      </w:pPr>
      <w:r w:rsidRPr="000702E7">
        <w:t xml:space="preserve">Согласиться с выводами и предложениями Постоянной рабочей группы Конкурсной комиссии </w:t>
      </w:r>
      <w:r w:rsidR="004541DA">
        <w:t xml:space="preserve"> аппарата управления </w:t>
      </w:r>
      <w:r w:rsidRPr="000702E7">
        <w:t xml:space="preserve">(Протокол № </w:t>
      </w:r>
      <w:r w:rsidR="000702E7" w:rsidRPr="000702E7">
        <w:t>2</w:t>
      </w:r>
      <w:r w:rsidRPr="000702E7">
        <w:t xml:space="preserve">8/ПРГ заседания, состоявшегося </w:t>
      </w:r>
      <w:r w:rsidR="000702E7" w:rsidRPr="000702E7">
        <w:t xml:space="preserve">10 апреля </w:t>
      </w:r>
      <w:r w:rsidRPr="000702E7">
        <w:t>2014 г.) в части принятия решения допустить к участию в открытом конкурсе</w:t>
      </w:r>
      <w:r w:rsidR="000702E7" w:rsidRPr="000702E7">
        <w:t xml:space="preserve"> </w:t>
      </w:r>
      <w:r w:rsidR="00512892">
        <w:t xml:space="preserve">по Лоту №1 </w:t>
      </w:r>
      <w:r w:rsidR="000702E7">
        <w:t xml:space="preserve">ЗАО </w:t>
      </w:r>
      <w:r w:rsidR="00280B0E">
        <w:t>«</w:t>
      </w:r>
      <w:r w:rsidR="000702E7">
        <w:t>Сплайн-Центр</w:t>
      </w:r>
      <w:r w:rsidR="00280B0E">
        <w:t>»</w:t>
      </w:r>
      <w:r w:rsidR="000702E7">
        <w:t>.</w:t>
      </w:r>
    </w:p>
    <w:p w:rsidR="004541DA" w:rsidRDefault="000702E7">
      <w:pPr>
        <w:pStyle w:val="ad"/>
        <w:numPr>
          <w:ilvl w:val="0"/>
          <w:numId w:val="70"/>
        </w:numPr>
        <w:ind w:left="0" w:firstLine="709"/>
        <w:jc w:val="both"/>
      </w:pPr>
      <w:r>
        <w:t>С</w:t>
      </w:r>
      <w:r w:rsidR="007709F0" w:rsidRPr="000702E7">
        <w:t xml:space="preserve">огласиться с выводами и предложениями Постоянной рабочей группы Конкурсной комиссии </w:t>
      </w:r>
      <w:r w:rsidR="00B855EA">
        <w:t>аппарата управления</w:t>
      </w:r>
      <w:r w:rsidR="007709F0" w:rsidRPr="000702E7">
        <w:t xml:space="preserve"> (Протокол № </w:t>
      </w:r>
      <w:r>
        <w:t>28</w:t>
      </w:r>
      <w:r w:rsidR="007709F0" w:rsidRPr="000702E7">
        <w:t xml:space="preserve">/ПРГ заседания, состоявшегося  </w:t>
      </w:r>
      <w:r>
        <w:t>10</w:t>
      </w:r>
      <w:r w:rsidRPr="000702E7">
        <w:t xml:space="preserve"> </w:t>
      </w:r>
      <w:r>
        <w:t>апреля</w:t>
      </w:r>
      <w:r w:rsidRPr="000702E7">
        <w:t xml:space="preserve"> </w:t>
      </w:r>
      <w:r w:rsidR="007709F0" w:rsidRPr="000702E7">
        <w:t>2014 г.)</w:t>
      </w:r>
      <w:r>
        <w:t xml:space="preserve"> </w:t>
      </w:r>
      <w:r w:rsidRPr="00CF7929">
        <w:t xml:space="preserve">и в соответствии с пунктом 141 и подпунктом </w:t>
      </w:r>
      <w:r w:rsidRPr="00DE15BD">
        <w:t>4 пункта 318 Положения о закупках</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00512892">
        <w:t xml:space="preserve">ЗАО </w:t>
      </w:r>
      <w:r w:rsidR="00280B0E">
        <w:t>«</w:t>
      </w:r>
      <w:r w:rsidR="00512892">
        <w:t>Сплайн-Центр</w:t>
      </w:r>
      <w:r w:rsidR="00280B0E">
        <w:t>»</w:t>
      </w:r>
      <w:r w:rsidR="00512892">
        <w:t xml:space="preserve"> </w:t>
      </w:r>
      <w:r w:rsidRPr="00CF7929">
        <w:t>на следующих условиях:</w:t>
      </w:r>
    </w:p>
    <w:p w:rsidR="004541DA" w:rsidRDefault="002D045D">
      <w:pPr>
        <w:pStyle w:val="ad"/>
        <w:ind w:left="0" w:firstLine="709"/>
        <w:jc w:val="both"/>
        <w:rPr>
          <w:szCs w:val="28"/>
        </w:rPr>
      </w:pPr>
      <w:r w:rsidRPr="002D045D">
        <w:rPr>
          <w:b/>
          <w:szCs w:val="28"/>
        </w:rPr>
        <w:t>Предмет договора:</w:t>
      </w:r>
      <w:r w:rsidRPr="002D045D">
        <w:rPr>
          <w:szCs w:val="28"/>
        </w:rPr>
        <w:t xml:space="preserve"> оказание информационных услуг с использованием справочно-правовой системы КонсультантПлюс серии VIP (услуги по адаптации и сопровождению экземпляра(ов) Системы(м) Серии VIP).</w:t>
      </w:r>
    </w:p>
    <w:p w:rsidR="00512892" w:rsidRPr="00512892" w:rsidRDefault="002D045D" w:rsidP="00B92986">
      <w:pPr>
        <w:pStyle w:val="af1"/>
        <w:ind w:firstLine="708"/>
        <w:jc w:val="both"/>
        <w:rPr>
          <w:sz w:val="28"/>
          <w:szCs w:val="28"/>
        </w:rPr>
      </w:pPr>
      <w:r w:rsidRPr="002D045D">
        <w:rPr>
          <w:b/>
          <w:sz w:val="28"/>
          <w:szCs w:val="28"/>
        </w:rPr>
        <w:t>Сведения об объеме закупаемых услуг:</w:t>
      </w:r>
      <w:r w:rsidR="00512892" w:rsidRPr="00191797">
        <w:rPr>
          <w:sz w:val="28"/>
          <w:szCs w:val="28"/>
        </w:rPr>
        <w:t xml:space="preserve"> сведения об объеме закупаемых</w:t>
      </w:r>
      <w:r w:rsidR="00B92986">
        <w:rPr>
          <w:sz w:val="28"/>
          <w:szCs w:val="28"/>
        </w:rPr>
        <w:t xml:space="preserve"> </w:t>
      </w:r>
      <w:r w:rsidR="00512892" w:rsidRPr="00191797">
        <w:rPr>
          <w:sz w:val="28"/>
          <w:szCs w:val="28"/>
        </w:rPr>
        <w:t>услуг приведены в Приложении №</w:t>
      </w:r>
      <w:r w:rsidRPr="00DE15BD">
        <w:rPr>
          <w:sz w:val="28"/>
          <w:szCs w:val="28"/>
        </w:rPr>
        <w:t>1</w:t>
      </w:r>
      <w:r w:rsidRPr="002D045D">
        <w:rPr>
          <w:sz w:val="28"/>
          <w:szCs w:val="28"/>
        </w:rPr>
        <w:t xml:space="preserve"> к настоящему Протоколу.</w:t>
      </w:r>
    </w:p>
    <w:p w:rsidR="004541DA" w:rsidRDefault="002D045D">
      <w:pPr>
        <w:pStyle w:val="ad"/>
        <w:ind w:left="0" w:firstLine="709"/>
        <w:jc w:val="both"/>
        <w:rPr>
          <w:szCs w:val="28"/>
        </w:rPr>
      </w:pPr>
      <w:r w:rsidRPr="002D045D">
        <w:rPr>
          <w:b/>
          <w:szCs w:val="28"/>
        </w:rPr>
        <w:t>Цена договора:</w:t>
      </w:r>
      <w:r w:rsidRPr="002D045D">
        <w:rPr>
          <w:szCs w:val="28"/>
        </w:rPr>
        <w:t xml:space="preserve"> 3 084 745,80 (Три миллиона восемьдесят четыре тысячи семьсот сорок пять рублей 80 копеек) без учета НДС. НДС по ставке 18% начисляется отдельно.</w:t>
      </w:r>
    </w:p>
    <w:p w:rsidR="004541DA" w:rsidRDefault="002D045D">
      <w:pPr>
        <w:pStyle w:val="Default"/>
        <w:ind w:firstLine="709"/>
        <w:jc w:val="both"/>
        <w:rPr>
          <w:sz w:val="28"/>
          <w:szCs w:val="28"/>
        </w:rPr>
      </w:pPr>
      <w:r w:rsidRPr="002D045D">
        <w:rPr>
          <w:b/>
          <w:sz w:val="28"/>
          <w:szCs w:val="28"/>
        </w:rPr>
        <w:t xml:space="preserve">Стоимость оказания услуг в месяц: </w:t>
      </w:r>
      <w:r w:rsidRPr="002D045D">
        <w:rPr>
          <w:snapToGrid w:val="0"/>
          <w:color w:val="auto"/>
          <w:sz w:val="28"/>
          <w:szCs w:val="28"/>
        </w:rPr>
        <w:t xml:space="preserve">154 237, 29 (Сто пятьдесят четыре тысячи двести тридцать семь рублей 29 копеек) </w:t>
      </w:r>
      <w:r w:rsidRPr="002D045D">
        <w:rPr>
          <w:sz w:val="28"/>
          <w:szCs w:val="28"/>
        </w:rPr>
        <w:t>без учета НДС. НДС по ставке 18% начисляется отдельно.</w:t>
      </w:r>
    </w:p>
    <w:p w:rsidR="004541DA" w:rsidRDefault="002D045D">
      <w:pPr>
        <w:pStyle w:val="Default"/>
        <w:ind w:firstLine="709"/>
        <w:jc w:val="both"/>
        <w:rPr>
          <w:b/>
          <w:sz w:val="28"/>
          <w:szCs w:val="28"/>
        </w:rPr>
      </w:pPr>
      <w:r w:rsidRPr="002D045D">
        <w:rPr>
          <w:b/>
          <w:sz w:val="28"/>
          <w:szCs w:val="28"/>
        </w:rPr>
        <w:t xml:space="preserve">Условия оплаты: </w:t>
      </w:r>
      <w:r w:rsidRPr="002D045D">
        <w:rPr>
          <w:color w:val="auto"/>
          <w:sz w:val="28"/>
          <w:szCs w:val="28"/>
        </w:rPr>
        <w:t>Оплата услуг производится ежемесячно. Основанием для расчетов является счет, который Поставщик предоставляет Заказчику не позднее 10 числа текущего месяца, в котором оказываются услуги. В счете указывается стоимость информационных услуг с использованием экземпляра(ов) Системы Серии VIP за месяц.</w:t>
      </w:r>
    </w:p>
    <w:p w:rsidR="004541DA" w:rsidRDefault="002D045D">
      <w:pPr>
        <w:pStyle w:val="Default"/>
        <w:ind w:firstLine="709"/>
        <w:jc w:val="both"/>
        <w:rPr>
          <w:color w:val="auto"/>
          <w:sz w:val="28"/>
          <w:szCs w:val="28"/>
        </w:rPr>
      </w:pPr>
      <w:r w:rsidRPr="002D045D">
        <w:rPr>
          <w:color w:val="auto"/>
          <w:sz w:val="28"/>
          <w:szCs w:val="28"/>
        </w:rPr>
        <w:t>Заказчик оплачивает стоимость информационных услуг с использованием экземпляра(ов) Системы Серии VIP в текущем месяце до последнего числа этого месяца.</w:t>
      </w:r>
    </w:p>
    <w:p w:rsidR="004541DA" w:rsidRDefault="002D045D">
      <w:pPr>
        <w:pStyle w:val="Default"/>
        <w:ind w:firstLine="709"/>
        <w:jc w:val="both"/>
        <w:rPr>
          <w:sz w:val="28"/>
          <w:szCs w:val="28"/>
        </w:rPr>
      </w:pPr>
      <w:r w:rsidRPr="002D045D">
        <w:rPr>
          <w:b/>
          <w:sz w:val="28"/>
          <w:szCs w:val="28"/>
        </w:rPr>
        <w:t>Место оказания услуг:</w:t>
      </w:r>
      <w:r w:rsidRPr="002D045D">
        <w:rPr>
          <w:sz w:val="28"/>
          <w:szCs w:val="28"/>
        </w:rPr>
        <w:t xml:space="preserve"> 125047, г. Москва, Оружейный переулок, д. 19</w:t>
      </w:r>
      <w:r w:rsidR="00AA21C7">
        <w:rPr>
          <w:sz w:val="28"/>
          <w:szCs w:val="28"/>
        </w:rPr>
        <w:t>.</w:t>
      </w:r>
    </w:p>
    <w:p w:rsidR="00512892" w:rsidRPr="00512892" w:rsidRDefault="002D045D" w:rsidP="00DE15BD">
      <w:pPr>
        <w:pStyle w:val="Default"/>
        <w:ind w:firstLine="708"/>
        <w:jc w:val="both"/>
        <w:rPr>
          <w:snapToGrid w:val="0"/>
          <w:color w:val="auto"/>
          <w:sz w:val="28"/>
          <w:szCs w:val="28"/>
        </w:rPr>
      </w:pPr>
      <w:r w:rsidRPr="002D045D">
        <w:rPr>
          <w:b/>
          <w:sz w:val="28"/>
          <w:szCs w:val="28"/>
        </w:rPr>
        <w:t>Срок оказания услуг:</w:t>
      </w:r>
      <w:r w:rsidRPr="002D045D">
        <w:rPr>
          <w:sz w:val="28"/>
          <w:szCs w:val="28"/>
        </w:rPr>
        <w:t xml:space="preserve"> </w:t>
      </w:r>
      <w:r w:rsidRPr="00DE15BD">
        <w:rPr>
          <w:color w:val="auto"/>
          <w:sz w:val="28"/>
          <w:szCs w:val="28"/>
        </w:rPr>
        <w:t xml:space="preserve">с </w:t>
      </w:r>
      <w:r w:rsidR="000A6D34">
        <w:rPr>
          <w:color w:val="auto"/>
          <w:sz w:val="28"/>
          <w:szCs w:val="28"/>
        </w:rPr>
        <w:t>01.05.2014</w:t>
      </w:r>
      <w:r w:rsidRPr="00DE15BD">
        <w:rPr>
          <w:color w:val="auto"/>
          <w:sz w:val="28"/>
          <w:szCs w:val="28"/>
        </w:rPr>
        <w:t xml:space="preserve"> по 31.12. 2015.</w:t>
      </w:r>
    </w:p>
    <w:p w:rsidR="004541DA" w:rsidRDefault="002D045D">
      <w:pPr>
        <w:pStyle w:val="ad"/>
        <w:ind w:left="0" w:firstLine="709"/>
        <w:jc w:val="both"/>
        <w:rPr>
          <w:szCs w:val="28"/>
        </w:rPr>
      </w:pPr>
      <w:r w:rsidRPr="002D045D">
        <w:rPr>
          <w:b/>
          <w:szCs w:val="28"/>
        </w:rPr>
        <w:t>Срок действия договора:</w:t>
      </w:r>
      <w:r w:rsidRPr="002D045D">
        <w:rPr>
          <w:szCs w:val="28"/>
        </w:rPr>
        <w:t xml:space="preserve"> с даты </w:t>
      </w:r>
      <w:r w:rsidR="00DE15BD">
        <w:rPr>
          <w:szCs w:val="28"/>
        </w:rPr>
        <w:t>заключения</w:t>
      </w:r>
      <w:r w:rsidR="00DE15BD" w:rsidRPr="002D045D">
        <w:rPr>
          <w:szCs w:val="28"/>
        </w:rPr>
        <w:t xml:space="preserve"> </w:t>
      </w:r>
      <w:r w:rsidRPr="002D045D">
        <w:rPr>
          <w:szCs w:val="28"/>
        </w:rPr>
        <w:t>договора до 31.12.2015</w:t>
      </w:r>
      <w:r w:rsidR="00A179B6">
        <w:rPr>
          <w:szCs w:val="28"/>
        </w:rPr>
        <w:t>г. включительно</w:t>
      </w:r>
      <w:r w:rsidRPr="002D045D">
        <w:rPr>
          <w:szCs w:val="28"/>
        </w:rPr>
        <w:t>, а в части взаиморасчетов – до полного исполнения обязательств по договору.</w:t>
      </w:r>
      <w:r w:rsidR="00AA6EF7">
        <w:rPr>
          <w:szCs w:val="28"/>
        </w:rPr>
        <w:t xml:space="preserve"> Действие договора распространяется на отношения сторон, возникшие с 1 мая 2014 года.</w:t>
      </w:r>
    </w:p>
    <w:p w:rsidR="006133AB" w:rsidRPr="00753493" w:rsidRDefault="006133AB" w:rsidP="006133AB">
      <w:pPr>
        <w:ind w:firstLine="709"/>
        <w:jc w:val="both"/>
        <w:rPr>
          <w:szCs w:val="28"/>
        </w:rPr>
      </w:pPr>
      <w:r w:rsidRPr="00753493">
        <w:rPr>
          <w:szCs w:val="28"/>
        </w:rPr>
        <w:t>4.</w:t>
      </w:r>
      <w:r>
        <w:rPr>
          <w:szCs w:val="28"/>
        </w:rPr>
        <w:t xml:space="preserve"> </w:t>
      </w:r>
      <w:r w:rsidRPr="00753493">
        <w:rPr>
          <w:szCs w:val="28"/>
        </w:rPr>
        <w:t xml:space="preserve">Поручить </w:t>
      </w:r>
      <w:r w:rsidR="00512892">
        <w:rPr>
          <w:szCs w:val="28"/>
        </w:rPr>
        <w:t>начальнику отдела информационных технологий (ЦКПИТ) Шлыку А.А.</w:t>
      </w:r>
      <w:r w:rsidRPr="00753493">
        <w:rPr>
          <w:bCs/>
          <w:snapToGrid w:val="0"/>
          <w:szCs w:val="28"/>
        </w:rPr>
        <w:t>:</w:t>
      </w:r>
    </w:p>
    <w:p w:rsidR="006133AB" w:rsidRPr="00DF7658" w:rsidRDefault="006133AB" w:rsidP="006133AB">
      <w:pPr>
        <w:pStyle w:val="ad"/>
        <w:numPr>
          <w:ilvl w:val="1"/>
          <w:numId w:val="66"/>
        </w:numPr>
        <w:ind w:left="0" w:firstLine="709"/>
        <w:jc w:val="both"/>
        <w:rPr>
          <w:szCs w:val="28"/>
        </w:rPr>
      </w:pPr>
      <w:r w:rsidRPr="00753493">
        <w:rPr>
          <w:szCs w:val="28"/>
        </w:rPr>
        <w:t>уведомить</w:t>
      </w:r>
      <w:r w:rsidRPr="00C51773">
        <w:t xml:space="preserve"> </w:t>
      </w:r>
      <w:r w:rsidR="00512892">
        <w:t xml:space="preserve">ЗАО </w:t>
      </w:r>
      <w:r w:rsidR="00280B0E">
        <w:t>«</w:t>
      </w:r>
      <w:r w:rsidR="00512892">
        <w:t>Сплайн-Центр</w:t>
      </w:r>
      <w:r w:rsidR="00280B0E">
        <w:t>»</w:t>
      </w:r>
      <w:r>
        <w:rPr>
          <w:szCs w:val="28"/>
        </w:rPr>
        <w:t xml:space="preserve"> </w:t>
      </w:r>
      <w:r w:rsidRPr="00DF7658">
        <w:rPr>
          <w:szCs w:val="27"/>
        </w:rPr>
        <w:t xml:space="preserve">о принятом </w:t>
      </w:r>
      <w:r w:rsidRPr="00DF7658">
        <w:rPr>
          <w:szCs w:val="28"/>
        </w:rPr>
        <w:t xml:space="preserve">Конкурсной </w:t>
      </w:r>
      <w:r w:rsidR="00512892" w:rsidRPr="00DF7658">
        <w:rPr>
          <w:szCs w:val="28"/>
        </w:rPr>
        <w:t>комиссией</w:t>
      </w:r>
      <w:r w:rsidR="00512892">
        <w:rPr>
          <w:szCs w:val="28"/>
        </w:rPr>
        <w:t xml:space="preserve"> </w:t>
      </w:r>
      <w:r w:rsidRPr="00DF7658">
        <w:rPr>
          <w:szCs w:val="28"/>
        </w:rPr>
        <w:t xml:space="preserve">ОАО </w:t>
      </w:r>
      <w:r w:rsidR="00280B0E">
        <w:rPr>
          <w:szCs w:val="28"/>
        </w:rPr>
        <w:t>«</w:t>
      </w:r>
      <w:r w:rsidRPr="00DF7658">
        <w:rPr>
          <w:szCs w:val="28"/>
        </w:rPr>
        <w:t>ТрансКонтейнер</w:t>
      </w:r>
      <w:r w:rsidR="00280B0E">
        <w:rPr>
          <w:szCs w:val="28"/>
        </w:rPr>
        <w:t>»</w:t>
      </w:r>
      <w:r w:rsidRPr="00DF7658">
        <w:rPr>
          <w:szCs w:val="28"/>
        </w:rPr>
        <w:t xml:space="preserve"> решении;</w:t>
      </w:r>
    </w:p>
    <w:p w:rsidR="006133AB" w:rsidRPr="00C51773" w:rsidRDefault="006133AB" w:rsidP="006133AB">
      <w:pPr>
        <w:ind w:firstLine="709"/>
        <w:jc w:val="both"/>
        <w:rPr>
          <w:szCs w:val="28"/>
        </w:rPr>
      </w:pPr>
      <w:r w:rsidRPr="00C51773">
        <w:rPr>
          <w:szCs w:val="28"/>
        </w:rPr>
        <w:t xml:space="preserve">4.2 обеспечить установленным порядком заключение договора с                      </w:t>
      </w:r>
      <w:r w:rsidR="00512892">
        <w:t xml:space="preserve">ЗАО </w:t>
      </w:r>
      <w:r w:rsidR="00280B0E">
        <w:t>«</w:t>
      </w:r>
      <w:r w:rsidR="00512892">
        <w:t>Сплайн-Центр</w:t>
      </w:r>
      <w:r w:rsidR="00280B0E">
        <w:t>»</w:t>
      </w:r>
      <w:r w:rsidRPr="00C51773">
        <w:rPr>
          <w:szCs w:val="28"/>
        </w:rPr>
        <w:t>.</w:t>
      </w:r>
    </w:p>
    <w:p w:rsidR="00600A9B" w:rsidRDefault="00600A9B" w:rsidP="006230DE">
      <w:pPr>
        <w:pStyle w:val="ad"/>
        <w:tabs>
          <w:tab w:val="left" w:pos="851"/>
        </w:tabs>
        <w:ind w:left="709"/>
        <w:jc w:val="both"/>
        <w:rPr>
          <w:szCs w:val="28"/>
        </w:rPr>
      </w:pPr>
    </w:p>
    <w:p w:rsidR="00512892" w:rsidRDefault="00512892" w:rsidP="00512892">
      <w:pPr>
        <w:pStyle w:val="ad"/>
        <w:ind w:left="709"/>
        <w:jc w:val="both"/>
        <w:rPr>
          <w:b/>
          <w:szCs w:val="28"/>
        </w:rPr>
      </w:pPr>
      <w:r>
        <w:rPr>
          <w:b/>
          <w:szCs w:val="28"/>
        </w:rPr>
        <w:lastRenderedPageBreak/>
        <w:t>Лот №2</w:t>
      </w:r>
    </w:p>
    <w:p w:rsidR="004541DA" w:rsidRDefault="00512892">
      <w:pPr>
        <w:pStyle w:val="26"/>
        <w:numPr>
          <w:ilvl w:val="0"/>
          <w:numId w:val="71"/>
        </w:numPr>
        <w:tabs>
          <w:tab w:val="left" w:pos="708"/>
        </w:tabs>
        <w:spacing w:after="0"/>
        <w:ind w:left="0" w:firstLine="709"/>
        <w:jc w:val="both"/>
        <w:rPr>
          <w:rFonts w:ascii="Times New Roman" w:hAnsi="Times New Roman"/>
          <w:sz w:val="28"/>
          <w:szCs w:val="28"/>
        </w:rPr>
      </w:pPr>
      <w:r w:rsidRPr="006C3FA6">
        <w:rPr>
          <w:rFonts w:ascii="Times New Roman" w:hAnsi="Times New Roman"/>
          <w:sz w:val="28"/>
          <w:szCs w:val="28"/>
        </w:rPr>
        <w:t>Открыты</w:t>
      </w:r>
      <w:r w:rsidRPr="000702E7">
        <w:rPr>
          <w:rFonts w:ascii="Times New Roman" w:hAnsi="Times New Roman"/>
          <w:sz w:val="28"/>
          <w:szCs w:val="28"/>
        </w:rPr>
        <w:t xml:space="preserve">й конкурс № ОКэ/004/ЦКПИТ/0013 в электронной форме </w:t>
      </w:r>
      <w:r w:rsidRPr="000702E7">
        <w:rPr>
          <w:rFonts w:ascii="Times New Roman" w:hAnsi="Times New Roman"/>
          <w:sz w:val="28"/>
          <w:szCs w:val="28"/>
        </w:rPr>
        <w:br/>
        <w:t>на право заключения договора на оказание информационных услуг с использованием справочно-правовой системы КонсультантПлюс</w:t>
      </w:r>
      <w:r>
        <w:rPr>
          <w:rFonts w:ascii="Times New Roman" w:hAnsi="Times New Roman"/>
          <w:sz w:val="28"/>
          <w:szCs w:val="28"/>
        </w:rPr>
        <w:t xml:space="preserve"> </w:t>
      </w:r>
      <w:r w:rsidRPr="006C3FA6">
        <w:rPr>
          <w:rFonts w:ascii="Times New Roman" w:hAnsi="Times New Roman"/>
          <w:sz w:val="28"/>
          <w:szCs w:val="28"/>
        </w:rPr>
        <w:t>в 2014-2015 гг.</w:t>
      </w:r>
      <w:r w:rsidRPr="000702E7">
        <w:rPr>
          <w:rFonts w:ascii="Times New Roman" w:hAnsi="Times New Roman"/>
          <w:sz w:val="28"/>
          <w:szCs w:val="28"/>
        </w:rPr>
        <w:t xml:space="preserve"> по Лоту №</w:t>
      </w:r>
      <w:r>
        <w:rPr>
          <w:rFonts w:ascii="Times New Roman" w:hAnsi="Times New Roman"/>
          <w:sz w:val="28"/>
          <w:szCs w:val="28"/>
        </w:rPr>
        <w:t>2</w:t>
      </w:r>
      <w:r w:rsidRPr="000702E7">
        <w:rPr>
          <w:rFonts w:ascii="Times New Roman" w:hAnsi="Times New Roman"/>
          <w:sz w:val="28"/>
          <w:szCs w:val="28"/>
        </w:rPr>
        <w:t xml:space="preserve"> признан </w:t>
      </w:r>
      <w:r w:rsidRPr="000362BC">
        <w:rPr>
          <w:rFonts w:ascii="Times New Roman" w:hAnsi="Times New Roman"/>
          <w:sz w:val="28"/>
          <w:szCs w:val="28"/>
        </w:rPr>
        <w:t>несостоявшимся на основании подпункта 2 пункта 140 Положения о закупках и подпункта 2 пункта 2.9.10. документации о закупке (на участие в конкурсе подана одна Заявка).</w:t>
      </w:r>
    </w:p>
    <w:p w:rsidR="004541DA" w:rsidRDefault="00512892">
      <w:pPr>
        <w:pStyle w:val="ad"/>
        <w:numPr>
          <w:ilvl w:val="0"/>
          <w:numId w:val="71"/>
        </w:numPr>
        <w:ind w:left="0" w:firstLine="709"/>
        <w:jc w:val="both"/>
      </w:pPr>
      <w:r w:rsidRPr="000702E7">
        <w:t xml:space="preserve">Согласиться с выводами и предложениями Постоянной рабочей группы Конкурсной комиссии </w:t>
      </w:r>
      <w:r w:rsidR="0086625E">
        <w:t>аппарата управления</w:t>
      </w:r>
      <w:r w:rsidRPr="000702E7">
        <w:t xml:space="preserve"> (Протокол № 28/ПРГ заседания, состоявшегося 10 апреля 2014 г.) в части принятия решения допустить к участию в открытом конкурсе</w:t>
      </w:r>
      <w:r>
        <w:t xml:space="preserve"> по Лоту №2 ЗАО </w:t>
      </w:r>
      <w:r w:rsidR="00280B0E">
        <w:t>«</w:t>
      </w:r>
      <w:r>
        <w:t>Сплайн-Центр</w:t>
      </w:r>
      <w:r w:rsidR="00280B0E">
        <w:t>»</w:t>
      </w:r>
      <w:r>
        <w:t>.</w:t>
      </w:r>
    </w:p>
    <w:p w:rsidR="004541DA" w:rsidRDefault="00512892">
      <w:pPr>
        <w:pStyle w:val="ad"/>
        <w:numPr>
          <w:ilvl w:val="0"/>
          <w:numId w:val="71"/>
        </w:numPr>
        <w:ind w:left="0" w:firstLine="709"/>
        <w:jc w:val="both"/>
      </w:pPr>
      <w:r>
        <w:t>С</w:t>
      </w:r>
      <w:r w:rsidRPr="000702E7">
        <w:t xml:space="preserve">огласиться с выводами и предложениями Постоянной рабочей группы Конкурсной комиссии </w:t>
      </w:r>
      <w:r w:rsidR="0086625E">
        <w:t>аппарата управления</w:t>
      </w:r>
      <w:r w:rsidRPr="000702E7">
        <w:t xml:space="preserve"> (Протокол № </w:t>
      </w:r>
      <w:r>
        <w:t>28</w:t>
      </w:r>
      <w:r w:rsidRPr="000702E7">
        <w:t xml:space="preserve">/ПРГ заседания, состоявшегося  </w:t>
      </w:r>
      <w:r>
        <w:t>10</w:t>
      </w:r>
      <w:r w:rsidRPr="000702E7">
        <w:t xml:space="preserve"> </w:t>
      </w:r>
      <w:r>
        <w:t>апреля</w:t>
      </w:r>
      <w:r w:rsidRPr="000702E7">
        <w:t xml:space="preserve"> 2014 г.)</w:t>
      </w:r>
      <w:r>
        <w:t xml:space="preserve"> </w:t>
      </w:r>
      <w:r w:rsidRPr="00CF7929">
        <w:t xml:space="preserve">и в соответствии </w:t>
      </w:r>
      <w:r w:rsidRPr="00DE15BD">
        <w:t>с пунктом 141 и подпунктом 4 пункта 318 Положения о закупках</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t xml:space="preserve">ЗАО </w:t>
      </w:r>
      <w:r w:rsidR="00280B0E">
        <w:t>«</w:t>
      </w:r>
      <w:r>
        <w:t>Сплайн-Центр</w:t>
      </w:r>
      <w:r w:rsidR="00280B0E">
        <w:t>»</w:t>
      </w:r>
      <w:r>
        <w:t xml:space="preserve"> </w:t>
      </w:r>
      <w:r w:rsidRPr="00CF7929">
        <w:t>на следующих условиях:</w:t>
      </w:r>
    </w:p>
    <w:p w:rsidR="00512892" w:rsidRPr="00512892" w:rsidRDefault="002D045D" w:rsidP="00512892">
      <w:pPr>
        <w:tabs>
          <w:tab w:val="left" w:pos="709"/>
        </w:tabs>
        <w:ind w:firstLine="709"/>
        <w:jc w:val="both"/>
        <w:rPr>
          <w:snapToGrid w:val="0"/>
          <w:szCs w:val="28"/>
        </w:rPr>
      </w:pPr>
      <w:r w:rsidRPr="002D045D">
        <w:rPr>
          <w:b/>
          <w:snapToGrid w:val="0"/>
          <w:szCs w:val="28"/>
        </w:rPr>
        <w:t>Предмет договора:</w:t>
      </w:r>
      <w:r w:rsidRPr="002D045D">
        <w:rPr>
          <w:snapToGrid w:val="0"/>
          <w:szCs w:val="28"/>
        </w:rPr>
        <w:t xml:space="preserve"> </w:t>
      </w:r>
      <w:r w:rsidR="00512892">
        <w:rPr>
          <w:snapToGrid w:val="0"/>
          <w:szCs w:val="28"/>
        </w:rPr>
        <w:t>о</w:t>
      </w:r>
      <w:r w:rsidRPr="002D045D">
        <w:rPr>
          <w:snapToGrid w:val="0"/>
          <w:szCs w:val="28"/>
        </w:rPr>
        <w:t xml:space="preserve">казание информационных услуг с использованием справочно-правовой системы КонсультантПлюс серии МСВУД (услуги по адаптации и сопровождению экземпляра(ов) Системы(м) Серии МСВУД), а также предоставление лицензии на использование данных Систем в филиалах ОАО </w:t>
      </w:r>
      <w:r w:rsidR="00280B0E">
        <w:rPr>
          <w:snapToGrid w:val="0"/>
          <w:szCs w:val="28"/>
        </w:rPr>
        <w:t>«</w:t>
      </w:r>
      <w:r w:rsidRPr="002D045D">
        <w:rPr>
          <w:snapToGrid w:val="0"/>
          <w:szCs w:val="28"/>
        </w:rPr>
        <w:t>ТрансКонтейнер</w:t>
      </w:r>
      <w:r w:rsidR="00280B0E">
        <w:rPr>
          <w:snapToGrid w:val="0"/>
          <w:szCs w:val="28"/>
        </w:rPr>
        <w:t>»</w:t>
      </w:r>
      <w:r w:rsidR="00512892">
        <w:rPr>
          <w:snapToGrid w:val="0"/>
          <w:szCs w:val="28"/>
        </w:rPr>
        <w:t>.</w:t>
      </w:r>
    </w:p>
    <w:p w:rsidR="00AE1AD0" w:rsidRPr="000362BC" w:rsidRDefault="00AE1AD0" w:rsidP="00AE1AD0">
      <w:pPr>
        <w:tabs>
          <w:tab w:val="left" w:pos="709"/>
        </w:tabs>
        <w:ind w:firstLine="709"/>
        <w:jc w:val="both"/>
        <w:rPr>
          <w:snapToGrid w:val="0"/>
          <w:szCs w:val="28"/>
        </w:rPr>
      </w:pPr>
      <w:r w:rsidRPr="000362BC">
        <w:rPr>
          <w:b/>
          <w:snapToGrid w:val="0"/>
          <w:szCs w:val="28"/>
        </w:rPr>
        <w:t>Сведения об объеме закупаемых услуг:</w:t>
      </w:r>
      <w:r w:rsidRPr="000362BC">
        <w:rPr>
          <w:snapToGrid w:val="0"/>
          <w:szCs w:val="28"/>
        </w:rPr>
        <w:t xml:space="preserve"> сведения об объеме закупаемых услуг приведены в Приложении №2 к настоящему Протоколу.</w:t>
      </w:r>
    </w:p>
    <w:p w:rsidR="00AE1AD0" w:rsidRPr="000362BC" w:rsidRDefault="00AE1AD0" w:rsidP="00AE1AD0">
      <w:pPr>
        <w:tabs>
          <w:tab w:val="left" w:pos="709"/>
        </w:tabs>
        <w:ind w:firstLine="709"/>
        <w:jc w:val="both"/>
        <w:rPr>
          <w:snapToGrid w:val="0"/>
          <w:szCs w:val="28"/>
        </w:rPr>
      </w:pPr>
      <w:r w:rsidRPr="000362BC">
        <w:rPr>
          <w:snapToGrid w:val="0"/>
          <w:szCs w:val="28"/>
        </w:rPr>
        <w:t>В рамках договора Поставщик обеспечивает Заказчика правом предоставления доступа удаленным офисам Заказчика к системе:</w:t>
      </w:r>
    </w:p>
    <w:p w:rsidR="00B77227" w:rsidRPr="00B77227" w:rsidRDefault="00B77227" w:rsidP="00B77227">
      <w:pPr>
        <w:pStyle w:val="af1"/>
        <w:ind w:firstLine="708"/>
        <w:jc w:val="both"/>
        <w:rPr>
          <w:snapToGrid w:val="0"/>
          <w:sz w:val="28"/>
          <w:szCs w:val="28"/>
        </w:rPr>
      </w:pPr>
      <w:r w:rsidRPr="00B77227">
        <w:rPr>
          <w:snapToGrid w:val="0"/>
          <w:sz w:val="28"/>
          <w:szCs w:val="28"/>
        </w:rPr>
        <w:t xml:space="preserve">-  </w:t>
      </w:r>
      <w:r w:rsidRPr="000A6D34">
        <w:rPr>
          <w:snapToGrid w:val="0"/>
          <w:sz w:val="28"/>
          <w:szCs w:val="28"/>
        </w:rPr>
        <w:t xml:space="preserve"> </w:t>
      </w:r>
      <w:r w:rsidRPr="00B77227">
        <w:rPr>
          <w:snapToGrid w:val="0"/>
          <w:sz w:val="28"/>
          <w:szCs w:val="28"/>
        </w:rPr>
        <w:t>1 (одному) удаленному офису в пределах Московской области (МО);</w:t>
      </w:r>
    </w:p>
    <w:p w:rsidR="00B77227" w:rsidRPr="00B77227" w:rsidRDefault="00B77227" w:rsidP="00B77227">
      <w:pPr>
        <w:pStyle w:val="af1"/>
        <w:ind w:firstLine="708"/>
        <w:jc w:val="both"/>
        <w:rPr>
          <w:snapToGrid w:val="0"/>
          <w:sz w:val="28"/>
          <w:szCs w:val="28"/>
        </w:rPr>
      </w:pPr>
      <w:r w:rsidRPr="00B77227">
        <w:rPr>
          <w:snapToGrid w:val="0"/>
          <w:sz w:val="28"/>
          <w:szCs w:val="28"/>
        </w:rPr>
        <w:t>- 14 (четырнадцати) удаленным офисам за пределами Московской области (МО).</w:t>
      </w:r>
    </w:p>
    <w:p w:rsidR="00AE1AD0" w:rsidRPr="000362BC" w:rsidRDefault="000D1B7E" w:rsidP="00AE1AD0">
      <w:pPr>
        <w:tabs>
          <w:tab w:val="left" w:pos="709"/>
        </w:tabs>
        <w:ind w:firstLine="709"/>
        <w:jc w:val="both"/>
        <w:rPr>
          <w:snapToGrid w:val="0"/>
          <w:szCs w:val="28"/>
        </w:rPr>
      </w:pPr>
      <w:r>
        <w:rPr>
          <w:snapToGrid w:val="0"/>
          <w:szCs w:val="28"/>
        </w:rPr>
        <w:t>Перечень</w:t>
      </w:r>
      <w:r w:rsidR="00AE1AD0" w:rsidRPr="0063368E">
        <w:rPr>
          <w:snapToGrid w:val="0"/>
          <w:szCs w:val="28"/>
        </w:rPr>
        <w:t xml:space="preserve"> удаленных офисов указан в Приложении №3 к настоящему Протоколу</w:t>
      </w:r>
      <w:r w:rsidR="00721EC3">
        <w:rPr>
          <w:snapToGrid w:val="0"/>
          <w:szCs w:val="28"/>
        </w:rPr>
        <w:t>.</w:t>
      </w:r>
    </w:p>
    <w:p w:rsidR="00AE1AD0" w:rsidRPr="000362BC" w:rsidRDefault="00AE1AD0" w:rsidP="00B92986">
      <w:pPr>
        <w:tabs>
          <w:tab w:val="left" w:pos="709"/>
        </w:tabs>
        <w:jc w:val="both"/>
        <w:rPr>
          <w:snapToGrid w:val="0"/>
          <w:szCs w:val="28"/>
        </w:rPr>
      </w:pPr>
      <w:r w:rsidRPr="000362BC">
        <w:rPr>
          <w:snapToGrid w:val="0"/>
          <w:szCs w:val="28"/>
        </w:rPr>
        <w:t>Разрешение оформляется в виде Сублицензионного соглашения.</w:t>
      </w:r>
    </w:p>
    <w:p w:rsidR="00512892" w:rsidRPr="00512892" w:rsidRDefault="002D045D" w:rsidP="00512892">
      <w:pPr>
        <w:tabs>
          <w:tab w:val="left" w:pos="709"/>
        </w:tabs>
        <w:ind w:firstLine="709"/>
        <w:jc w:val="both"/>
        <w:rPr>
          <w:snapToGrid w:val="0"/>
          <w:szCs w:val="28"/>
        </w:rPr>
      </w:pPr>
      <w:r w:rsidRPr="002D045D">
        <w:rPr>
          <w:b/>
          <w:snapToGrid w:val="0"/>
          <w:szCs w:val="28"/>
        </w:rPr>
        <w:t>Цена договора:</w:t>
      </w:r>
      <w:r w:rsidRPr="002D045D">
        <w:rPr>
          <w:snapToGrid w:val="0"/>
          <w:szCs w:val="28"/>
        </w:rPr>
        <w:t xml:space="preserve"> 4 945 762,80 </w:t>
      </w:r>
      <w:r w:rsidR="00AE1AD0">
        <w:rPr>
          <w:snapToGrid w:val="0"/>
          <w:szCs w:val="28"/>
        </w:rPr>
        <w:t xml:space="preserve">руб. </w:t>
      </w:r>
      <w:r w:rsidRPr="002D045D">
        <w:rPr>
          <w:snapToGrid w:val="0"/>
          <w:szCs w:val="28"/>
        </w:rPr>
        <w:t>(</w:t>
      </w:r>
      <w:r w:rsidR="00512892">
        <w:rPr>
          <w:snapToGrid w:val="0"/>
          <w:szCs w:val="28"/>
        </w:rPr>
        <w:t>Ч</w:t>
      </w:r>
      <w:r w:rsidRPr="002D045D">
        <w:rPr>
          <w:snapToGrid w:val="0"/>
          <w:szCs w:val="28"/>
        </w:rPr>
        <w:t xml:space="preserve">етыре миллиона девятьсот сорок пять тысяч семьсот шестьдесят два </w:t>
      </w:r>
      <w:r w:rsidR="00AE1AD0" w:rsidRPr="00AE1AD0">
        <w:rPr>
          <w:snapToGrid w:val="0"/>
          <w:szCs w:val="28"/>
        </w:rPr>
        <w:t>рубля 80 копеек) без учета НДС</w:t>
      </w:r>
      <w:r w:rsidR="00AE1AD0">
        <w:rPr>
          <w:snapToGrid w:val="0"/>
          <w:szCs w:val="28"/>
        </w:rPr>
        <w:t xml:space="preserve">. </w:t>
      </w:r>
      <w:r w:rsidRPr="002D045D">
        <w:rPr>
          <w:snapToGrid w:val="0"/>
          <w:szCs w:val="28"/>
        </w:rPr>
        <w:t>НДС по с</w:t>
      </w:r>
      <w:r w:rsidR="00AE1AD0" w:rsidRPr="00AE1AD0">
        <w:rPr>
          <w:snapToGrid w:val="0"/>
          <w:szCs w:val="28"/>
        </w:rPr>
        <w:t>тавке 18% начисляется отдельно</w:t>
      </w:r>
      <w:r w:rsidR="00AE1AD0">
        <w:rPr>
          <w:snapToGrid w:val="0"/>
          <w:szCs w:val="28"/>
        </w:rPr>
        <w:t>.</w:t>
      </w:r>
    </w:p>
    <w:p w:rsidR="00512892" w:rsidRPr="00512892" w:rsidRDefault="002D045D" w:rsidP="00512892">
      <w:pPr>
        <w:autoSpaceDE w:val="0"/>
        <w:autoSpaceDN w:val="0"/>
        <w:adjustRightInd w:val="0"/>
        <w:ind w:firstLine="708"/>
        <w:jc w:val="both"/>
        <w:rPr>
          <w:rFonts w:eastAsia="Calibri"/>
          <w:color w:val="000000"/>
          <w:szCs w:val="28"/>
        </w:rPr>
      </w:pPr>
      <w:r w:rsidRPr="002D045D">
        <w:rPr>
          <w:rFonts w:eastAsia="Calibri"/>
          <w:b/>
          <w:color w:val="000000"/>
          <w:szCs w:val="28"/>
        </w:rPr>
        <w:t xml:space="preserve">Стоимость оказания услуг в месяц: </w:t>
      </w:r>
      <w:r w:rsidRPr="002D045D">
        <w:rPr>
          <w:snapToGrid w:val="0"/>
          <w:szCs w:val="28"/>
        </w:rPr>
        <w:t xml:space="preserve">247 288, 14 </w:t>
      </w:r>
      <w:r w:rsidR="00AE1AD0">
        <w:rPr>
          <w:snapToGrid w:val="0"/>
          <w:szCs w:val="28"/>
        </w:rPr>
        <w:t xml:space="preserve">руб. </w:t>
      </w:r>
      <w:r w:rsidRPr="002D045D">
        <w:rPr>
          <w:snapToGrid w:val="0"/>
          <w:szCs w:val="28"/>
        </w:rPr>
        <w:t xml:space="preserve">(двести сорок семь тысяч двести восемьдесят восемь рублей 14 копеек) </w:t>
      </w:r>
      <w:r w:rsidR="00AE1AD0" w:rsidRPr="00AE1AD0">
        <w:rPr>
          <w:rFonts w:eastAsia="Calibri"/>
          <w:color w:val="000000"/>
          <w:szCs w:val="28"/>
        </w:rPr>
        <w:t>без учета НДС</w:t>
      </w:r>
      <w:r w:rsidR="00AE1AD0">
        <w:rPr>
          <w:rFonts w:eastAsia="Calibri"/>
          <w:color w:val="000000"/>
          <w:szCs w:val="28"/>
        </w:rPr>
        <w:t xml:space="preserve"> и </w:t>
      </w:r>
      <w:r w:rsidRPr="002D045D">
        <w:rPr>
          <w:rFonts w:eastAsia="Calibri"/>
          <w:color w:val="000000"/>
          <w:szCs w:val="28"/>
        </w:rPr>
        <w:t>включает в себя:</w:t>
      </w:r>
    </w:p>
    <w:p w:rsidR="00512892" w:rsidRPr="00512892" w:rsidRDefault="002D045D" w:rsidP="00512892">
      <w:pPr>
        <w:tabs>
          <w:tab w:val="left" w:pos="709"/>
        </w:tabs>
        <w:ind w:firstLine="709"/>
        <w:jc w:val="both"/>
        <w:rPr>
          <w:snapToGrid w:val="0"/>
          <w:szCs w:val="28"/>
        </w:rPr>
      </w:pPr>
      <w:r w:rsidRPr="002D045D">
        <w:rPr>
          <w:snapToGrid w:val="0"/>
          <w:szCs w:val="28"/>
        </w:rPr>
        <w:t xml:space="preserve">- сумму вознаграждения за предоставление лицензий на системы в размере 60 000,00 (шестьдесят тысяч рублей 00 копеек). Сумма вознаграждения не подлежит обложению НДС в соответствии с п.п. 26 п. 2 ст. 149 Налогового кодекса Российской Федерациии; </w:t>
      </w:r>
    </w:p>
    <w:p w:rsidR="00512892" w:rsidRDefault="002D045D" w:rsidP="00512892">
      <w:pPr>
        <w:tabs>
          <w:tab w:val="left" w:pos="709"/>
        </w:tabs>
        <w:ind w:firstLine="709"/>
        <w:jc w:val="both"/>
        <w:rPr>
          <w:rFonts w:eastAsia="Calibri"/>
          <w:color w:val="000000"/>
          <w:szCs w:val="28"/>
        </w:rPr>
      </w:pPr>
      <w:r w:rsidRPr="002D045D">
        <w:rPr>
          <w:snapToGrid w:val="0"/>
          <w:szCs w:val="28"/>
        </w:rPr>
        <w:lastRenderedPageBreak/>
        <w:t>-стоимость оказания информационных услуг в размере 187 288,14 (Сто восемьдесят семь тысяч двести восемьдесят восемь рублей 14 копеек) без учета НДС.</w:t>
      </w:r>
      <w:r w:rsidR="00512892" w:rsidRPr="00512892">
        <w:rPr>
          <w:snapToGrid w:val="0"/>
          <w:szCs w:val="28"/>
        </w:rPr>
        <w:tab/>
      </w:r>
      <w:r w:rsidR="00AE1AD0" w:rsidRPr="000362BC">
        <w:rPr>
          <w:rFonts w:eastAsia="Calibri"/>
          <w:color w:val="000000"/>
          <w:szCs w:val="28"/>
        </w:rPr>
        <w:t>НДС по ставке 18% начисляется отдельно</w:t>
      </w:r>
      <w:r w:rsidR="00AE1AD0">
        <w:rPr>
          <w:rFonts w:eastAsia="Calibri"/>
          <w:color w:val="000000"/>
          <w:szCs w:val="28"/>
        </w:rPr>
        <w:t>.</w:t>
      </w:r>
      <w:r w:rsidR="00AE1AD0" w:rsidRPr="00AE1AD0">
        <w:rPr>
          <w:rFonts w:eastAsia="Calibri"/>
          <w:color w:val="000000"/>
          <w:szCs w:val="28"/>
        </w:rPr>
        <w:t xml:space="preserve"> </w:t>
      </w:r>
    </w:p>
    <w:p w:rsidR="00AA21C7" w:rsidRPr="00512892" w:rsidRDefault="00AA21C7" w:rsidP="00AA21C7">
      <w:pPr>
        <w:autoSpaceDE w:val="0"/>
        <w:autoSpaceDN w:val="0"/>
        <w:adjustRightInd w:val="0"/>
        <w:ind w:firstLine="708"/>
        <w:jc w:val="both"/>
        <w:rPr>
          <w:szCs w:val="28"/>
        </w:rPr>
      </w:pPr>
      <w:r w:rsidRPr="002D045D">
        <w:rPr>
          <w:rFonts w:eastAsia="Calibri"/>
          <w:b/>
          <w:color w:val="000000"/>
          <w:szCs w:val="28"/>
        </w:rPr>
        <w:t xml:space="preserve">Условия оплаты: </w:t>
      </w:r>
      <w:r w:rsidRPr="002D045D">
        <w:rPr>
          <w:szCs w:val="28"/>
        </w:rPr>
        <w:t>Оплата услуг производится ежемесячно. Основанием для расчетов являются счета, которые Поставщик предоставляет Заказчику не позднее 10 числа текущего месяца, в котором оказываются услуги. В счетах указывается стоимость информационных услуг с использованием экземпляра(ов) Системы Серии МСВУД за месяц, сумма лицензионного вознаграждения за месяц.</w:t>
      </w:r>
    </w:p>
    <w:p w:rsidR="00AA21C7" w:rsidRDefault="00AA21C7" w:rsidP="00AA21C7">
      <w:pPr>
        <w:tabs>
          <w:tab w:val="left" w:pos="709"/>
        </w:tabs>
        <w:ind w:firstLine="709"/>
        <w:jc w:val="both"/>
        <w:rPr>
          <w:szCs w:val="28"/>
        </w:rPr>
      </w:pPr>
      <w:r w:rsidRPr="002D045D">
        <w:rPr>
          <w:szCs w:val="28"/>
        </w:rPr>
        <w:t>Заказчик оплачивает стоимость информационных услуг с использованием экземпляра(ов) Системы Серии МСВУД, а также лицензионное вознаграждение в текущем месяце до последнего числа этого месяца.</w:t>
      </w:r>
    </w:p>
    <w:p w:rsidR="00AA21C7" w:rsidRPr="00AA21C7" w:rsidRDefault="00AA21C7" w:rsidP="00AA21C7">
      <w:pPr>
        <w:autoSpaceDE w:val="0"/>
        <w:autoSpaceDN w:val="0"/>
        <w:adjustRightInd w:val="0"/>
        <w:ind w:firstLine="709"/>
        <w:jc w:val="both"/>
        <w:rPr>
          <w:rFonts w:eastAsia="Calibri"/>
          <w:color w:val="000000"/>
          <w:szCs w:val="28"/>
        </w:rPr>
      </w:pPr>
      <w:r w:rsidRPr="002D045D">
        <w:rPr>
          <w:rFonts w:eastAsia="Calibri"/>
          <w:b/>
          <w:color w:val="000000"/>
          <w:szCs w:val="28"/>
        </w:rPr>
        <w:t>Место оказания услуг:</w:t>
      </w:r>
      <w:r w:rsidRPr="002D045D">
        <w:rPr>
          <w:rFonts w:eastAsia="Calibri"/>
          <w:color w:val="000000"/>
          <w:szCs w:val="28"/>
        </w:rPr>
        <w:t xml:space="preserve"> 125047, г. Москва, Оружейный переулок, д. 19</w:t>
      </w:r>
      <w:r>
        <w:rPr>
          <w:rFonts w:eastAsia="Calibri"/>
          <w:color w:val="000000"/>
          <w:szCs w:val="28"/>
        </w:rPr>
        <w:t>.</w:t>
      </w:r>
    </w:p>
    <w:p w:rsidR="00512892" w:rsidRPr="00512892" w:rsidRDefault="00AA21C7" w:rsidP="00512892">
      <w:pPr>
        <w:autoSpaceDE w:val="0"/>
        <w:autoSpaceDN w:val="0"/>
        <w:adjustRightInd w:val="0"/>
        <w:ind w:firstLine="708"/>
        <w:jc w:val="both"/>
        <w:rPr>
          <w:snapToGrid w:val="0"/>
          <w:szCs w:val="28"/>
        </w:rPr>
      </w:pPr>
      <w:r>
        <w:rPr>
          <w:rFonts w:eastAsia="Calibri"/>
          <w:b/>
          <w:color w:val="000000"/>
          <w:szCs w:val="28"/>
        </w:rPr>
        <w:t>Срок</w:t>
      </w:r>
      <w:r w:rsidR="002D045D" w:rsidRPr="002D045D">
        <w:rPr>
          <w:rFonts w:eastAsia="Calibri"/>
          <w:b/>
          <w:color w:val="000000"/>
          <w:szCs w:val="28"/>
        </w:rPr>
        <w:t xml:space="preserve"> оказания услуг:</w:t>
      </w:r>
      <w:r w:rsidR="002D045D" w:rsidRPr="002D045D">
        <w:rPr>
          <w:rFonts w:eastAsia="Calibri"/>
          <w:color w:val="000000"/>
          <w:szCs w:val="28"/>
        </w:rPr>
        <w:t xml:space="preserve"> </w:t>
      </w:r>
      <w:r w:rsidR="002D045D" w:rsidRPr="002D045D">
        <w:rPr>
          <w:rFonts w:eastAsia="Calibri"/>
          <w:szCs w:val="28"/>
        </w:rPr>
        <w:t xml:space="preserve">с </w:t>
      </w:r>
      <w:r w:rsidR="00AA6EF7">
        <w:rPr>
          <w:szCs w:val="28"/>
        </w:rPr>
        <w:t>01.05.2014</w:t>
      </w:r>
      <w:r w:rsidR="00AA6EF7" w:rsidRPr="00DE15BD">
        <w:rPr>
          <w:szCs w:val="28"/>
        </w:rPr>
        <w:t xml:space="preserve"> </w:t>
      </w:r>
      <w:r w:rsidR="002D045D" w:rsidRPr="002D045D">
        <w:rPr>
          <w:rFonts w:eastAsia="Calibri"/>
          <w:szCs w:val="28"/>
        </w:rPr>
        <w:t>по 31.12.2015</w:t>
      </w:r>
      <w:r w:rsidR="00AE1AD0">
        <w:rPr>
          <w:rFonts w:eastAsia="Calibri"/>
          <w:szCs w:val="28"/>
        </w:rPr>
        <w:t>.</w:t>
      </w:r>
    </w:p>
    <w:p w:rsidR="00512892" w:rsidRDefault="002D045D" w:rsidP="00512892">
      <w:pPr>
        <w:tabs>
          <w:tab w:val="left" w:pos="709"/>
        </w:tabs>
        <w:ind w:firstLine="709"/>
        <w:jc w:val="both"/>
        <w:rPr>
          <w:snapToGrid w:val="0"/>
          <w:szCs w:val="28"/>
        </w:rPr>
      </w:pPr>
      <w:r w:rsidRPr="002D045D">
        <w:rPr>
          <w:b/>
          <w:snapToGrid w:val="0"/>
          <w:szCs w:val="28"/>
        </w:rPr>
        <w:t>Срок действия договора:</w:t>
      </w:r>
      <w:r w:rsidRPr="002D045D">
        <w:rPr>
          <w:snapToGrid w:val="0"/>
          <w:szCs w:val="28"/>
        </w:rPr>
        <w:t xml:space="preserve"> с даты </w:t>
      </w:r>
      <w:r w:rsidR="00AA21C7">
        <w:rPr>
          <w:snapToGrid w:val="0"/>
          <w:szCs w:val="28"/>
        </w:rPr>
        <w:t xml:space="preserve">заключения </w:t>
      </w:r>
      <w:r w:rsidRPr="002D045D">
        <w:rPr>
          <w:snapToGrid w:val="0"/>
          <w:szCs w:val="28"/>
        </w:rPr>
        <w:t>договора до 31.12.2015 г</w:t>
      </w:r>
      <w:r w:rsidRPr="002D045D">
        <w:rPr>
          <w:szCs w:val="28"/>
        </w:rPr>
        <w:t>.</w:t>
      </w:r>
      <w:r w:rsidR="00A179B6">
        <w:rPr>
          <w:szCs w:val="28"/>
        </w:rPr>
        <w:t xml:space="preserve"> включительно</w:t>
      </w:r>
      <w:r w:rsidRPr="002D045D">
        <w:rPr>
          <w:szCs w:val="28"/>
        </w:rPr>
        <w:t>, а в части взаиморасчетов – до полного исполнения  своих обязательств по договору</w:t>
      </w:r>
      <w:r w:rsidR="00AE1AD0">
        <w:rPr>
          <w:snapToGrid w:val="0"/>
          <w:szCs w:val="28"/>
        </w:rPr>
        <w:t>.</w:t>
      </w:r>
      <w:r w:rsidR="00AA6EF7">
        <w:rPr>
          <w:snapToGrid w:val="0"/>
          <w:szCs w:val="28"/>
        </w:rPr>
        <w:t xml:space="preserve"> </w:t>
      </w:r>
      <w:r w:rsidR="00AA6EF7">
        <w:rPr>
          <w:szCs w:val="28"/>
        </w:rPr>
        <w:t>Действие договора распространяется на отношения сторон, возникшие с 1 мая 2014 года.</w:t>
      </w:r>
    </w:p>
    <w:p w:rsidR="009D2B14" w:rsidRPr="009D2B14" w:rsidRDefault="00FA09C2" w:rsidP="009D2B14">
      <w:pPr>
        <w:pStyle w:val="ad"/>
        <w:numPr>
          <w:ilvl w:val="0"/>
          <w:numId w:val="71"/>
        </w:numPr>
        <w:jc w:val="both"/>
        <w:rPr>
          <w:bCs/>
          <w:snapToGrid w:val="0"/>
          <w:szCs w:val="28"/>
        </w:rPr>
      </w:pPr>
      <w:r w:rsidRPr="009D2B14">
        <w:rPr>
          <w:szCs w:val="28"/>
        </w:rPr>
        <w:t>Поручить начальнику отдела информационных технологий (ЦКПИТ) Шлыку А.А.</w:t>
      </w:r>
      <w:r w:rsidRPr="009D2B14">
        <w:rPr>
          <w:bCs/>
          <w:snapToGrid w:val="0"/>
          <w:szCs w:val="28"/>
        </w:rPr>
        <w:t>:</w:t>
      </w:r>
    </w:p>
    <w:p w:rsidR="009D2B14" w:rsidRPr="009D2B14" w:rsidRDefault="009D2B14" w:rsidP="009D2B14">
      <w:pPr>
        <w:ind w:firstLine="709"/>
        <w:jc w:val="both"/>
        <w:rPr>
          <w:szCs w:val="28"/>
        </w:rPr>
      </w:pPr>
      <w:r>
        <w:rPr>
          <w:szCs w:val="28"/>
        </w:rPr>
        <w:t xml:space="preserve">4.1 </w:t>
      </w:r>
      <w:r w:rsidRPr="009D2B14">
        <w:rPr>
          <w:szCs w:val="28"/>
        </w:rPr>
        <w:t>уведомить</w:t>
      </w:r>
      <w:r w:rsidRPr="00C51773">
        <w:t xml:space="preserve"> </w:t>
      </w:r>
      <w:r>
        <w:t>ЗАО «Сплайн-Центр»</w:t>
      </w:r>
      <w:r w:rsidRPr="009D2B14">
        <w:rPr>
          <w:szCs w:val="28"/>
        </w:rPr>
        <w:t xml:space="preserve"> </w:t>
      </w:r>
      <w:r w:rsidRPr="009D2B14">
        <w:rPr>
          <w:szCs w:val="27"/>
        </w:rPr>
        <w:t xml:space="preserve">о принятом </w:t>
      </w:r>
      <w:r w:rsidRPr="009D2B14">
        <w:rPr>
          <w:szCs w:val="28"/>
        </w:rPr>
        <w:t>Конкурсной комиссией ОАО «ТрансКонтейнер» решении;</w:t>
      </w:r>
    </w:p>
    <w:p w:rsidR="009D2B14" w:rsidRDefault="009D2B14" w:rsidP="009D2B14">
      <w:pPr>
        <w:ind w:firstLine="709"/>
        <w:jc w:val="both"/>
        <w:rPr>
          <w:szCs w:val="28"/>
        </w:rPr>
      </w:pPr>
      <w:r w:rsidRPr="00C51773">
        <w:rPr>
          <w:szCs w:val="28"/>
        </w:rPr>
        <w:t xml:space="preserve">4.2 обеспечить установленным порядком заключение договора с                      </w:t>
      </w:r>
      <w:r>
        <w:t>ЗАО «Сплайн-Центр»</w:t>
      </w:r>
      <w:r w:rsidRPr="00C51773">
        <w:rPr>
          <w:szCs w:val="28"/>
        </w:rPr>
        <w:t>.</w:t>
      </w:r>
    </w:p>
    <w:p w:rsidR="009D2B14" w:rsidRDefault="009D2B14" w:rsidP="009D2B14">
      <w:pPr>
        <w:ind w:firstLine="709"/>
        <w:jc w:val="both"/>
        <w:rPr>
          <w:szCs w:val="28"/>
        </w:rPr>
      </w:pPr>
    </w:p>
    <w:p w:rsidR="009D2B14" w:rsidRPr="00446EB6" w:rsidRDefault="009D2B14" w:rsidP="009D2B14">
      <w:pPr>
        <w:ind w:firstLine="709"/>
        <w:jc w:val="both"/>
        <w:rPr>
          <w:szCs w:val="28"/>
          <w:lang w:val="en-US"/>
        </w:rPr>
      </w:pPr>
    </w:p>
    <w:p w:rsidR="009D2B14" w:rsidRDefault="009D2B14" w:rsidP="009D2B14">
      <w:pPr>
        <w:ind w:firstLine="709"/>
        <w:jc w:val="both"/>
        <w:rPr>
          <w:szCs w:val="28"/>
        </w:rPr>
      </w:pPr>
    </w:p>
    <w:p w:rsidR="009D2B14" w:rsidRPr="00446EB6" w:rsidRDefault="009D2B14" w:rsidP="009D2B14">
      <w:pPr>
        <w:ind w:firstLine="709"/>
        <w:jc w:val="both"/>
        <w:rPr>
          <w:szCs w:val="28"/>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D2B14" w:rsidRPr="004679A3" w:rsidTr="00A25358">
        <w:trPr>
          <w:trHeight w:val="903"/>
        </w:trPr>
        <w:tc>
          <w:tcPr>
            <w:tcW w:w="5778" w:type="dxa"/>
          </w:tcPr>
          <w:p w:rsidR="009D2B14" w:rsidRPr="004679A3" w:rsidRDefault="009177BB" w:rsidP="00A25358">
            <w:pPr>
              <w:pStyle w:val="a6"/>
              <w:tabs>
                <w:tab w:val="left" w:pos="0"/>
              </w:tabs>
              <w:rPr>
                <w:i w:val="0"/>
              </w:rPr>
            </w:pPr>
            <w:r>
              <w:rPr>
                <w:i w:val="0"/>
              </w:rPr>
              <w:t xml:space="preserve">Заместитель </w:t>
            </w:r>
            <w:r w:rsidR="009D2B14">
              <w:rPr>
                <w:i w:val="0"/>
              </w:rPr>
              <w:t>Пр</w:t>
            </w:r>
            <w:r w:rsidR="009D2B14" w:rsidRPr="004679A3">
              <w:rPr>
                <w:i w:val="0"/>
              </w:rPr>
              <w:t>едседател</w:t>
            </w:r>
            <w:r>
              <w:rPr>
                <w:i w:val="0"/>
              </w:rPr>
              <w:t>я</w:t>
            </w:r>
          </w:p>
          <w:p w:rsidR="009D2B14" w:rsidRPr="004679A3" w:rsidRDefault="009D2B14" w:rsidP="00A25358">
            <w:pPr>
              <w:pStyle w:val="a6"/>
              <w:tabs>
                <w:tab w:val="left" w:pos="0"/>
              </w:tabs>
              <w:rPr>
                <w:i w:val="0"/>
              </w:rPr>
            </w:pPr>
            <w:r w:rsidRPr="004679A3">
              <w:rPr>
                <w:i w:val="0"/>
              </w:rPr>
              <w:t xml:space="preserve">Конкурсной комиссии                                                               </w:t>
            </w:r>
          </w:p>
          <w:p w:rsidR="009D2B14" w:rsidRPr="004679A3" w:rsidRDefault="009D2B14" w:rsidP="00A25358">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9D2B14" w:rsidRPr="004679A3" w:rsidRDefault="009D2B14" w:rsidP="00A25358">
            <w:pPr>
              <w:jc w:val="right"/>
              <w:rPr>
                <w:szCs w:val="28"/>
              </w:rPr>
            </w:pPr>
          </w:p>
        </w:tc>
      </w:tr>
      <w:tr w:rsidR="009D2B14" w:rsidRPr="004679A3" w:rsidTr="00A25358">
        <w:tc>
          <w:tcPr>
            <w:tcW w:w="5778" w:type="dxa"/>
          </w:tcPr>
          <w:p w:rsidR="009D2B14" w:rsidRPr="004679A3" w:rsidRDefault="009D2B14" w:rsidP="00A25358">
            <w:pPr>
              <w:jc w:val="both"/>
              <w:rPr>
                <w:szCs w:val="28"/>
              </w:rPr>
            </w:pPr>
          </w:p>
          <w:p w:rsidR="009D2B14" w:rsidRDefault="009D2B14" w:rsidP="00A25358">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D2B14" w:rsidRDefault="009D2B14" w:rsidP="002E3072">
            <w:pPr>
              <w:pStyle w:val="a6"/>
              <w:tabs>
                <w:tab w:val="left" w:pos="0"/>
              </w:tabs>
              <w:jc w:val="left"/>
            </w:pPr>
            <w:proofErr w:type="gramStart"/>
            <w:r w:rsidRPr="00CF45A9">
              <w:rPr>
                <w:i w:val="0"/>
              </w:rPr>
              <w:t>«</w:t>
            </w:r>
            <w:r w:rsidR="002E3072">
              <w:rPr>
                <w:i w:val="0"/>
              </w:rPr>
              <w:t>19</w:t>
            </w:r>
            <w:r>
              <w:rPr>
                <w:i w:val="0"/>
              </w:rPr>
              <w:t>» мая 2014 год</w:t>
            </w:r>
            <w:proofErr w:type="gramEnd"/>
            <w:r>
              <w:rPr>
                <w:i w:val="0"/>
              </w:rPr>
              <w:t xml:space="preserve">                                                                                                                                                                                                                                                                                                                                                                                                                                                                                                                                                                                                                                                                                                                                                                                                                                                                                                                                                                                                                                                                                                                                                                                                                                                                                                                                                                                                                                                                                                                                                                                                                                                                                                                                                                                                                                                                                                                                                                                                                                                                                                                                                                                                                                                                                                                                                                                                                                                                                                                                                                                                                                                                                                                                                                                                                                                                                                                                                                                                                                                                                                                                                                                                                                                                                                                                                                                                                                                                                                                                                                                                                                                                                                                                                                               </w:t>
            </w:r>
          </w:p>
        </w:tc>
        <w:tc>
          <w:tcPr>
            <w:tcW w:w="4111" w:type="dxa"/>
          </w:tcPr>
          <w:p w:rsidR="009D2B14" w:rsidRPr="004679A3" w:rsidRDefault="009D2B14" w:rsidP="00A25358">
            <w:pPr>
              <w:jc w:val="right"/>
              <w:rPr>
                <w:szCs w:val="28"/>
              </w:rPr>
            </w:pPr>
          </w:p>
        </w:tc>
      </w:tr>
    </w:tbl>
    <w:p w:rsidR="00280B0E" w:rsidRDefault="00280B0E" w:rsidP="006230DE">
      <w:pPr>
        <w:rPr>
          <w:sz w:val="22"/>
          <w:szCs w:val="22"/>
        </w:rPr>
        <w:sectPr w:rsidR="00280B0E" w:rsidSect="00A179B6">
          <w:headerReference w:type="default" r:id="rId9"/>
          <w:pgSz w:w="11906" w:h="16838"/>
          <w:pgMar w:top="1135" w:right="851" w:bottom="993" w:left="1418" w:header="567" w:footer="0"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B546B6" w:rsidRPr="00D5177E">
        <w:rPr>
          <w:bCs/>
          <w:sz w:val="22"/>
          <w:szCs w:val="22"/>
        </w:rPr>
        <w:t>1</w:t>
      </w:r>
      <w:r w:rsidR="00B546B6">
        <w:rPr>
          <w:bCs/>
          <w:sz w:val="22"/>
          <w:szCs w:val="22"/>
        </w:rPr>
        <w:t>7</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280B0E" w:rsidP="007B615A">
      <w:pPr>
        <w:jc w:val="right"/>
        <w:rPr>
          <w:sz w:val="22"/>
          <w:szCs w:val="22"/>
        </w:rPr>
      </w:pPr>
      <w:r>
        <w:rPr>
          <w:sz w:val="22"/>
          <w:szCs w:val="22"/>
        </w:rPr>
        <w:t>«</w:t>
      </w:r>
      <w:r w:rsidR="007B615A" w:rsidRPr="00D02697">
        <w:rPr>
          <w:sz w:val="22"/>
          <w:szCs w:val="22"/>
        </w:rPr>
        <w:t xml:space="preserve">Центр по перевозке грузов в контейнерах </w:t>
      </w:r>
      <w:r>
        <w:rPr>
          <w:sz w:val="22"/>
          <w:szCs w:val="22"/>
        </w:rPr>
        <w:t>«</w:t>
      </w:r>
      <w:r w:rsidR="007B615A" w:rsidRPr="00D02697">
        <w:rPr>
          <w:sz w:val="22"/>
          <w:szCs w:val="22"/>
        </w:rPr>
        <w:t>ТрансКонтейнер</w:t>
      </w:r>
      <w:r>
        <w:rPr>
          <w:sz w:val="22"/>
          <w:szCs w:val="22"/>
        </w:rPr>
        <w:t>»</w:t>
      </w:r>
      <w:r w:rsidR="007B615A" w:rsidRPr="00D02697">
        <w:rPr>
          <w:sz w:val="22"/>
          <w:szCs w:val="22"/>
        </w:rPr>
        <w:t>,</w:t>
      </w:r>
    </w:p>
    <w:p w:rsidR="007B615A" w:rsidRDefault="007B615A" w:rsidP="007B615A">
      <w:pPr>
        <w:jc w:val="right"/>
        <w:rPr>
          <w:sz w:val="22"/>
          <w:szCs w:val="22"/>
        </w:rPr>
      </w:pPr>
      <w:r w:rsidRPr="00D02697">
        <w:rPr>
          <w:sz w:val="22"/>
          <w:szCs w:val="22"/>
        </w:rPr>
        <w:t xml:space="preserve">состоявшегося </w:t>
      </w:r>
      <w:r>
        <w:rPr>
          <w:sz w:val="22"/>
          <w:szCs w:val="22"/>
        </w:rPr>
        <w:t xml:space="preserve"> </w:t>
      </w:r>
      <w:r w:rsidR="00B546B6">
        <w:rPr>
          <w:sz w:val="22"/>
          <w:szCs w:val="22"/>
        </w:rPr>
        <w:t xml:space="preserve">22 </w:t>
      </w:r>
      <w:r w:rsidR="00B546B6" w:rsidRPr="00D02697">
        <w:rPr>
          <w:sz w:val="22"/>
          <w:szCs w:val="22"/>
        </w:rPr>
        <w:t xml:space="preserve"> </w:t>
      </w:r>
      <w:r w:rsidR="00151AAD">
        <w:rPr>
          <w:sz w:val="22"/>
          <w:szCs w:val="22"/>
        </w:rPr>
        <w:t xml:space="preserve">апреля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7B615A" w:rsidRPr="00D5177E" w:rsidRDefault="007B615A" w:rsidP="007B615A">
      <w:pPr>
        <w:jc w:val="right"/>
        <w:rPr>
          <w:szCs w:val="28"/>
        </w:rPr>
      </w:pPr>
    </w:p>
    <w:p w:rsidR="00EC0EC7" w:rsidRPr="00EC0EC7" w:rsidRDefault="00EC0EC7" w:rsidP="00EC0EC7">
      <w:pPr>
        <w:tabs>
          <w:tab w:val="left" w:pos="709"/>
        </w:tabs>
        <w:ind w:firstLine="709"/>
        <w:rPr>
          <w:snapToGrid w:val="0"/>
        </w:rPr>
      </w:pPr>
    </w:p>
    <w:p w:rsidR="00512892" w:rsidRPr="00512892" w:rsidRDefault="00512892" w:rsidP="00512892">
      <w:pPr>
        <w:tabs>
          <w:tab w:val="left" w:pos="284"/>
          <w:tab w:val="left" w:pos="709"/>
          <w:tab w:val="center" w:pos="4680"/>
          <w:tab w:val="right" w:pos="9355"/>
          <w:tab w:val="left" w:pos="9639"/>
        </w:tabs>
        <w:jc w:val="center"/>
        <w:rPr>
          <w:b/>
          <w:snapToGrid w:val="0"/>
          <w:sz w:val="24"/>
          <w:szCs w:val="24"/>
        </w:rPr>
      </w:pPr>
      <w:r w:rsidRPr="00512892">
        <w:rPr>
          <w:b/>
          <w:snapToGrid w:val="0"/>
          <w:sz w:val="24"/>
          <w:szCs w:val="24"/>
        </w:rPr>
        <w:t>Сведения об объеме закупаемых товаров и работ по Лоту № 1</w:t>
      </w:r>
    </w:p>
    <w:p w:rsidR="00512892" w:rsidRPr="00512892" w:rsidRDefault="00512892" w:rsidP="00512892">
      <w:pPr>
        <w:tabs>
          <w:tab w:val="left" w:pos="284"/>
          <w:tab w:val="left" w:pos="709"/>
          <w:tab w:val="center" w:pos="4680"/>
          <w:tab w:val="right" w:pos="9355"/>
          <w:tab w:val="left" w:pos="9639"/>
        </w:tabs>
        <w:jc w:val="center"/>
        <w:rPr>
          <w:b/>
          <w:snapToGrid w:val="0"/>
          <w:sz w:val="24"/>
          <w:szCs w:val="24"/>
        </w:rPr>
      </w:pPr>
    </w:p>
    <w:tbl>
      <w:tblPr>
        <w:tblW w:w="5000"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5378"/>
        <w:gridCol w:w="3196"/>
        <w:gridCol w:w="1279"/>
      </w:tblGrid>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b/>
                <w:sz w:val="18"/>
                <w:szCs w:val="18"/>
                <w:lang w:eastAsia="ar-SA"/>
              </w:rPr>
            </w:pPr>
            <w:r w:rsidRPr="00512892">
              <w:rPr>
                <w:b/>
                <w:sz w:val="18"/>
                <w:szCs w:val="18"/>
                <w:lang w:eastAsia="ar-SA"/>
              </w:rPr>
              <w:t>Название экземпляра Системы КонсультантПлюс Серии VIP</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b/>
                <w:sz w:val="18"/>
                <w:szCs w:val="18"/>
                <w:lang w:eastAsia="ar-SA"/>
              </w:rPr>
            </w:pPr>
            <w:r w:rsidRPr="00512892">
              <w:rPr>
                <w:b/>
                <w:sz w:val="18"/>
                <w:szCs w:val="18"/>
                <w:lang w:eastAsia="ar-SA"/>
              </w:rPr>
              <w:t>Тип Системы</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b/>
                <w:sz w:val="18"/>
                <w:szCs w:val="18"/>
                <w:lang w:eastAsia="ar-SA"/>
              </w:rPr>
            </w:pPr>
            <w:r w:rsidRPr="00512892">
              <w:rPr>
                <w:b/>
                <w:sz w:val="18"/>
                <w:szCs w:val="18"/>
                <w:lang w:eastAsia="ar-SA"/>
              </w:rPr>
              <w:t>Количество</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Версия Проф</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Версия Проф</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Версия Проф</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Эксперт-приложение</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Эксперт-приложение</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Эксперт-приложение</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Документы СССР</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Москва Проф</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Международное право</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Международное право</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КонсультантФинансист</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КонсультантФинансист</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КонсультантБухгалтер: Корреспонденция счетов</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КонсультантБухгалтер: Корреспонденция счетов</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Решения высших судов</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Решения высших судов</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КонсультантАрбитраж: ФАС всех округов</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КонсультантАрбитраж: ФАС всех округов</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КонсультантПлюс: Комментарии законодательства</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КонсультантПлюс: Комментарии законодательства</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Деловые бумаги</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Москвы и области</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Москвы и области</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Подборки судебных решений</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Подборки судебных решений</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КонсультантАрбитраж: Все апелляционные суды</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КонсультантАрбитраж: Все апелляционные суды</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общей юрисдикции</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r w:rsidR="00512892" w:rsidRPr="00512892" w:rsidTr="00512892">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общей юрисдикции</w:t>
            </w:r>
          </w:p>
        </w:tc>
        <w:tc>
          <w:tcPr>
            <w:tcW w:w="1622"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флэш-версия</w:t>
            </w:r>
          </w:p>
        </w:tc>
        <w:tc>
          <w:tcPr>
            <w:tcW w:w="649" w:type="pct"/>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jc w:val="center"/>
              <w:rPr>
                <w:sz w:val="18"/>
                <w:szCs w:val="18"/>
                <w:lang w:eastAsia="ar-SA"/>
              </w:rPr>
            </w:pPr>
            <w:r w:rsidRPr="00512892">
              <w:rPr>
                <w:sz w:val="18"/>
                <w:szCs w:val="18"/>
                <w:lang w:eastAsia="ar-SA"/>
              </w:rPr>
              <w:t>1 ( одна )</w:t>
            </w:r>
          </w:p>
        </w:tc>
      </w:tr>
    </w:tbl>
    <w:p w:rsidR="00512892" w:rsidRPr="00512892" w:rsidRDefault="00512892" w:rsidP="00512892">
      <w:pPr>
        <w:tabs>
          <w:tab w:val="left" w:pos="284"/>
          <w:tab w:val="left" w:pos="709"/>
          <w:tab w:val="center" w:pos="4680"/>
          <w:tab w:val="right" w:pos="9355"/>
          <w:tab w:val="left" w:pos="9639"/>
        </w:tabs>
        <w:jc w:val="center"/>
        <w:rPr>
          <w:b/>
          <w:snapToGrid w:val="0"/>
          <w:sz w:val="24"/>
          <w:szCs w:val="24"/>
        </w:rPr>
      </w:pPr>
    </w:p>
    <w:p w:rsidR="00512892" w:rsidRPr="00512892" w:rsidRDefault="00512892" w:rsidP="00512892">
      <w:pPr>
        <w:tabs>
          <w:tab w:val="left" w:pos="284"/>
          <w:tab w:val="left" w:pos="709"/>
          <w:tab w:val="center" w:pos="4680"/>
          <w:tab w:val="right" w:pos="9355"/>
          <w:tab w:val="left" w:pos="9639"/>
        </w:tabs>
        <w:jc w:val="center"/>
        <w:rPr>
          <w:snapToGrid w:val="0"/>
          <w:szCs w:val="28"/>
        </w:rPr>
      </w:pPr>
    </w:p>
    <w:p w:rsidR="00512892" w:rsidRPr="00512892" w:rsidRDefault="00512892" w:rsidP="00512892">
      <w:pPr>
        <w:tabs>
          <w:tab w:val="left" w:pos="284"/>
          <w:tab w:val="left" w:pos="709"/>
          <w:tab w:val="center" w:pos="4680"/>
          <w:tab w:val="right" w:pos="9355"/>
          <w:tab w:val="left" w:pos="9639"/>
        </w:tabs>
        <w:jc w:val="both"/>
        <w:rPr>
          <w:snapToGrid w:val="0"/>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B9531C" w:rsidRPr="00B9531C" w:rsidRDefault="00B9531C" w:rsidP="00B9531C">
      <w:pPr>
        <w:rPr>
          <w:szCs w:val="28"/>
        </w:rPr>
      </w:pPr>
    </w:p>
    <w:p w:rsidR="00512892" w:rsidRDefault="00512892" w:rsidP="00512892">
      <w:pPr>
        <w:jc w:val="right"/>
        <w:rPr>
          <w:sz w:val="22"/>
          <w:szCs w:val="22"/>
        </w:rPr>
      </w:pPr>
    </w:p>
    <w:p w:rsidR="00512892" w:rsidRDefault="00512892" w:rsidP="00512892">
      <w:pPr>
        <w:jc w:val="right"/>
        <w:rPr>
          <w:sz w:val="22"/>
          <w:szCs w:val="22"/>
        </w:rPr>
      </w:pPr>
    </w:p>
    <w:p w:rsidR="00512892" w:rsidRDefault="00512892" w:rsidP="00512892">
      <w:pPr>
        <w:jc w:val="right"/>
        <w:rPr>
          <w:sz w:val="22"/>
          <w:szCs w:val="22"/>
        </w:rPr>
      </w:pPr>
    </w:p>
    <w:p w:rsidR="00512892" w:rsidRDefault="00512892" w:rsidP="00512892">
      <w:pPr>
        <w:jc w:val="right"/>
        <w:rPr>
          <w:sz w:val="22"/>
          <w:szCs w:val="22"/>
        </w:rPr>
      </w:pPr>
    </w:p>
    <w:p w:rsidR="00512892" w:rsidRDefault="00512892" w:rsidP="00512892">
      <w:pPr>
        <w:jc w:val="right"/>
        <w:rPr>
          <w:sz w:val="22"/>
          <w:szCs w:val="22"/>
        </w:rPr>
      </w:pPr>
    </w:p>
    <w:p w:rsidR="00512892" w:rsidRPr="00D02697" w:rsidRDefault="00512892" w:rsidP="00512892">
      <w:pPr>
        <w:jc w:val="right"/>
        <w:rPr>
          <w:sz w:val="22"/>
          <w:szCs w:val="22"/>
        </w:rPr>
      </w:pPr>
      <w:r w:rsidRPr="00417D1F">
        <w:rPr>
          <w:sz w:val="22"/>
          <w:szCs w:val="22"/>
        </w:rPr>
        <w:lastRenderedPageBreak/>
        <w:t xml:space="preserve">Приложение № </w:t>
      </w:r>
      <w:r>
        <w:rPr>
          <w:sz w:val="22"/>
          <w:szCs w:val="22"/>
        </w:rPr>
        <w:t>2</w:t>
      </w:r>
      <w:r w:rsidRPr="00D5177E">
        <w:rPr>
          <w:sz w:val="22"/>
          <w:szCs w:val="22"/>
        </w:rPr>
        <w:t xml:space="preserve"> </w:t>
      </w:r>
    </w:p>
    <w:p w:rsidR="00512892" w:rsidRPr="00D02697" w:rsidRDefault="00512892" w:rsidP="0051289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w:t>
      </w:r>
      <w:r w:rsidR="00B546B6">
        <w:rPr>
          <w:bCs/>
          <w:sz w:val="22"/>
          <w:szCs w:val="22"/>
        </w:rPr>
        <w:t>7</w:t>
      </w:r>
      <w:r w:rsidRPr="00D02697">
        <w:rPr>
          <w:sz w:val="22"/>
          <w:szCs w:val="22"/>
        </w:rPr>
        <w:t>/КК</w:t>
      </w:r>
    </w:p>
    <w:p w:rsidR="00512892" w:rsidRPr="00D02697" w:rsidRDefault="00512892" w:rsidP="00512892">
      <w:pPr>
        <w:jc w:val="right"/>
        <w:outlineLvl w:val="0"/>
        <w:rPr>
          <w:bCs/>
          <w:sz w:val="22"/>
          <w:szCs w:val="22"/>
        </w:rPr>
      </w:pPr>
      <w:r w:rsidRPr="00D02697">
        <w:rPr>
          <w:bCs/>
          <w:sz w:val="22"/>
          <w:szCs w:val="22"/>
        </w:rPr>
        <w:t>заседания Конкурсной комиссии</w:t>
      </w:r>
    </w:p>
    <w:p w:rsidR="00512892" w:rsidRPr="00D02697" w:rsidRDefault="00512892" w:rsidP="00512892">
      <w:pPr>
        <w:jc w:val="right"/>
        <w:rPr>
          <w:sz w:val="22"/>
          <w:szCs w:val="22"/>
        </w:rPr>
      </w:pPr>
      <w:r w:rsidRPr="00D02697">
        <w:rPr>
          <w:sz w:val="22"/>
          <w:szCs w:val="22"/>
        </w:rPr>
        <w:t>открытого акционерного общества</w:t>
      </w:r>
    </w:p>
    <w:p w:rsidR="00512892" w:rsidRPr="00D02697" w:rsidRDefault="00280B0E" w:rsidP="00512892">
      <w:pPr>
        <w:jc w:val="right"/>
        <w:rPr>
          <w:sz w:val="22"/>
          <w:szCs w:val="22"/>
        </w:rPr>
      </w:pPr>
      <w:r>
        <w:rPr>
          <w:sz w:val="22"/>
          <w:szCs w:val="22"/>
        </w:rPr>
        <w:t>«</w:t>
      </w:r>
      <w:r w:rsidR="00512892" w:rsidRPr="00D02697">
        <w:rPr>
          <w:sz w:val="22"/>
          <w:szCs w:val="22"/>
        </w:rPr>
        <w:t xml:space="preserve">Центр по перевозке грузов в контейнерах </w:t>
      </w:r>
      <w:r>
        <w:rPr>
          <w:sz w:val="22"/>
          <w:szCs w:val="22"/>
        </w:rPr>
        <w:t>«</w:t>
      </w:r>
      <w:r w:rsidR="00512892" w:rsidRPr="00D02697">
        <w:rPr>
          <w:sz w:val="22"/>
          <w:szCs w:val="22"/>
        </w:rPr>
        <w:t>ТрансКонтейнер</w:t>
      </w:r>
      <w:r>
        <w:rPr>
          <w:sz w:val="22"/>
          <w:szCs w:val="22"/>
        </w:rPr>
        <w:t>»</w:t>
      </w:r>
      <w:r w:rsidR="00512892" w:rsidRPr="00D02697">
        <w:rPr>
          <w:sz w:val="22"/>
          <w:szCs w:val="22"/>
        </w:rPr>
        <w:t>,</w:t>
      </w:r>
    </w:p>
    <w:p w:rsidR="00512892" w:rsidRDefault="00512892" w:rsidP="00512892">
      <w:pPr>
        <w:jc w:val="right"/>
        <w:rPr>
          <w:sz w:val="22"/>
          <w:szCs w:val="22"/>
        </w:rPr>
      </w:pPr>
      <w:r w:rsidRPr="00D02697">
        <w:rPr>
          <w:sz w:val="22"/>
          <w:szCs w:val="22"/>
        </w:rPr>
        <w:t xml:space="preserve">состоявшегося </w:t>
      </w:r>
      <w:r>
        <w:rPr>
          <w:sz w:val="22"/>
          <w:szCs w:val="22"/>
        </w:rPr>
        <w:t xml:space="preserve"> </w:t>
      </w:r>
      <w:r w:rsidR="00B546B6">
        <w:rPr>
          <w:sz w:val="22"/>
          <w:szCs w:val="22"/>
        </w:rPr>
        <w:t>22</w:t>
      </w:r>
      <w:r>
        <w:rPr>
          <w:sz w:val="22"/>
          <w:szCs w:val="22"/>
        </w:rPr>
        <w:t xml:space="preserve"> </w:t>
      </w:r>
      <w:r w:rsidRPr="00D02697">
        <w:rPr>
          <w:sz w:val="22"/>
          <w:szCs w:val="22"/>
        </w:rPr>
        <w:t xml:space="preserve"> </w:t>
      </w:r>
      <w:r>
        <w:rPr>
          <w:sz w:val="22"/>
          <w:szCs w:val="22"/>
        </w:rPr>
        <w:t xml:space="preserve">апреля </w:t>
      </w:r>
      <w:r w:rsidRPr="00D02697">
        <w:rPr>
          <w:sz w:val="22"/>
          <w:szCs w:val="22"/>
        </w:rPr>
        <w:t xml:space="preserve"> 201</w:t>
      </w:r>
      <w:r>
        <w:rPr>
          <w:sz w:val="22"/>
          <w:szCs w:val="22"/>
        </w:rPr>
        <w:t>4</w:t>
      </w:r>
      <w:r w:rsidRPr="00D02697">
        <w:rPr>
          <w:sz w:val="22"/>
          <w:szCs w:val="22"/>
        </w:rPr>
        <w:t xml:space="preserve"> года</w:t>
      </w:r>
    </w:p>
    <w:p w:rsidR="00512892" w:rsidRPr="00D5177E" w:rsidRDefault="00512892" w:rsidP="00512892">
      <w:pPr>
        <w:jc w:val="right"/>
        <w:rPr>
          <w:szCs w:val="28"/>
        </w:rPr>
      </w:pPr>
    </w:p>
    <w:p w:rsidR="00512892" w:rsidRPr="00512892" w:rsidRDefault="00512892" w:rsidP="00512892">
      <w:pPr>
        <w:tabs>
          <w:tab w:val="left" w:pos="284"/>
          <w:tab w:val="left" w:pos="709"/>
          <w:tab w:val="center" w:pos="4680"/>
          <w:tab w:val="right" w:pos="9355"/>
          <w:tab w:val="left" w:pos="9639"/>
        </w:tabs>
        <w:jc w:val="center"/>
        <w:rPr>
          <w:b/>
          <w:snapToGrid w:val="0"/>
          <w:sz w:val="24"/>
          <w:szCs w:val="24"/>
        </w:rPr>
      </w:pPr>
      <w:r w:rsidRPr="00512892">
        <w:rPr>
          <w:b/>
          <w:snapToGrid w:val="0"/>
          <w:sz w:val="24"/>
          <w:szCs w:val="24"/>
        </w:rPr>
        <w:t>Сведения об объеме закупаемых товаров и работ по Лоту № 2</w:t>
      </w:r>
    </w:p>
    <w:p w:rsidR="00512892" w:rsidRPr="00512892" w:rsidRDefault="00512892" w:rsidP="00512892">
      <w:pPr>
        <w:tabs>
          <w:tab w:val="left" w:pos="284"/>
          <w:tab w:val="left" w:pos="709"/>
          <w:tab w:val="center" w:pos="4680"/>
          <w:tab w:val="right" w:pos="9355"/>
          <w:tab w:val="left" w:pos="9639"/>
        </w:tabs>
        <w:jc w:val="center"/>
        <w:rPr>
          <w:b/>
          <w:snapToGrid w:val="0"/>
          <w:sz w:val="24"/>
          <w:szCs w:val="24"/>
        </w:rPr>
      </w:pPr>
    </w:p>
    <w:tbl>
      <w:tblPr>
        <w:tblpPr w:leftFromText="180" w:rightFromText="180" w:vertAnchor="text" w:tblpY="1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6931"/>
        <w:gridCol w:w="1334"/>
        <w:gridCol w:w="1179"/>
      </w:tblGrid>
      <w:tr w:rsidR="00512892" w:rsidRPr="00512892" w:rsidTr="00512892">
        <w:trPr>
          <w:trHeight w:val="127"/>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b/>
                <w:sz w:val="18"/>
                <w:szCs w:val="18"/>
                <w:lang w:eastAsia="ar-SA"/>
              </w:rPr>
            </w:pPr>
            <w:r w:rsidRPr="00512892">
              <w:rPr>
                <w:b/>
                <w:sz w:val="18"/>
                <w:szCs w:val="18"/>
                <w:lang w:eastAsia="ar-SA"/>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b/>
                <w:sz w:val="18"/>
                <w:szCs w:val="18"/>
                <w:lang w:eastAsia="ar-SA"/>
              </w:rPr>
            </w:pPr>
            <w:r w:rsidRPr="00512892">
              <w:rPr>
                <w:b/>
                <w:sz w:val="18"/>
                <w:szCs w:val="18"/>
                <w:lang w:eastAsia="ar-SA"/>
              </w:rPr>
              <w:t>Тип Системы</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b/>
                <w:sz w:val="18"/>
                <w:szCs w:val="18"/>
                <w:lang w:eastAsia="ar-SA"/>
              </w:rPr>
            </w:pPr>
            <w:r w:rsidRPr="00512892">
              <w:rPr>
                <w:b/>
                <w:sz w:val="18"/>
                <w:szCs w:val="18"/>
                <w:lang w:eastAsia="ar-SA"/>
              </w:rPr>
              <w:t>Количество</w:t>
            </w:r>
          </w:p>
        </w:tc>
      </w:tr>
      <w:tr w:rsidR="00512892" w:rsidRPr="00512892" w:rsidTr="00512892">
        <w:trPr>
          <w:trHeight w:val="190"/>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Версия Проф</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49"/>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7"/>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71"/>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1"/>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КонсультантФинансист</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79"/>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Решения высших судов</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145"/>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КонсультантАрбитраж: ФАС всех округов</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05"/>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КонсультантПлюс: Комментарии законодательства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5"/>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Деловые бумаги</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74"/>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3"/>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82"/>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71"/>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2"/>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5"/>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r w:rsidR="00512892" w:rsidRPr="00512892" w:rsidTr="00512892">
        <w:trPr>
          <w:trHeight w:val="269"/>
        </w:trPr>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СС КонсультантСудебнаяПрактика: Арбитражные Суды Иркутской области</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сетевая</w:t>
            </w:r>
          </w:p>
        </w:tc>
        <w:tc>
          <w:tcPr>
            <w:tcW w:w="0" w:type="auto"/>
            <w:tcBorders>
              <w:top w:val="single" w:sz="6" w:space="0" w:color="000000"/>
              <w:left w:val="single" w:sz="6" w:space="0" w:color="000000"/>
              <w:bottom w:val="single" w:sz="6" w:space="0" w:color="000000"/>
              <w:right w:val="single" w:sz="6" w:space="0" w:color="000000"/>
            </w:tcBorders>
            <w:hideMark/>
          </w:tcPr>
          <w:p w:rsidR="00512892" w:rsidRPr="00512892" w:rsidRDefault="00512892" w:rsidP="00512892">
            <w:pPr>
              <w:suppressAutoHyphens/>
              <w:rPr>
                <w:sz w:val="18"/>
                <w:szCs w:val="18"/>
                <w:lang w:eastAsia="ar-SA"/>
              </w:rPr>
            </w:pPr>
            <w:r w:rsidRPr="00512892">
              <w:rPr>
                <w:sz w:val="18"/>
                <w:szCs w:val="18"/>
                <w:lang w:eastAsia="ar-SA"/>
              </w:rPr>
              <w:t>1 ( одна )</w:t>
            </w:r>
          </w:p>
        </w:tc>
      </w:tr>
    </w:tbl>
    <w:p w:rsidR="00512892" w:rsidRPr="00512892" w:rsidRDefault="00512892" w:rsidP="00512892">
      <w:pPr>
        <w:tabs>
          <w:tab w:val="left" w:pos="284"/>
          <w:tab w:val="left" w:pos="709"/>
          <w:tab w:val="center" w:pos="4680"/>
          <w:tab w:val="right" w:pos="9355"/>
          <w:tab w:val="left" w:pos="9639"/>
        </w:tabs>
        <w:jc w:val="center"/>
        <w:rPr>
          <w:b/>
          <w:snapToGrid w:val="0"/>
          <w:sz w:val="24"/>
          <w:szCs w:val="24"/>
        </w:rPr>
      </w:pPr>
    </w:p>
    <w:p w:rsidR="00512892" w:rsidRPr="00EC0EC7" w:rsidRDefault="00512892" w:rsidP="00512892">
      <w:pPr>
        <w:tabs>
          <w:tab w:val="left" w:pos="709"/>
        </w:tabs>
        <w:ind w:firstLine="709"/>
        <w:rPr>
          <w:snapToGrid w:val="0"/>
        </w:rPr>
      </w:pPr>
    </w:p>
    <w:p w:rsidR="00B9531C" w:rsidRDefault="00B9531C" w:rsidP="00B9531C">
      <w:pPr>
        <w:rPr>
          <w:szCs w:val="28"/>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Default="00AE1AD0" w:rsidP="00AE1AD0">
      <w:pPr>
        <w:jc w:val="right"/>
        <w:rPr>
          <w:sz w:val="22"/>
          <w:szCs w:val="22"/>
        </w:rPr>
      </w:pPr>
    </w:p>
    <w:p w:rsidR="00AE1AD0" w:rsidRPr="00D02697" w:rsidRDefault="00AE1AD0" w:rsidP="00AE1AD0">
      <w:pPr>
        <w:jc w:val="right"/>
        <w:rPr>
          <w:sz w:val="22"/>
          <w:szCs w:val="22"/>
        </w:rPr>
      </w:pPr>
      <w:r w:rsidRPr="00417D1F">
        <w:rPr>
          <w:sz w:val="22"/>
          <w:szCs w:val="22"/>
        </w:rPr>
        <w:lastRenderedPageBreak/>
        <w:t xml:space="preserve">Приложение № </w:t>
      </w:r>
      <w:r>
        <w:rPr>
          <w:sz w:val="22"/>
          <w:szCs w:val="22"/>
        </w:rPr>
        <w:t>3</w:t>
      </w:r>
      <w:r w:rsidRPr="00D5177E">
        <w:rPr>
          <w:sz w:val="22"/>
          <w:szCs w:val="22"/>
        </w:rPr>
        <w:t xml:space="preserve"> </w:t>
      </w:r>
    </w:p>
    <w:p w:rsidR="00AE1AD0" w:rsidRPr="00D02697" w:rsidRDefault="00AE1AD0" w:rsidP="00AE1AD0">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w:t>
      </w:r>
      <w:r w:rsidR="00B546B6">
        <w:rPr>
          <w:bCs/>
          <w:sz w:val="22"/>
          <w:szCs w:val="22"/>
        </w:rPr>
        <w:t>7</w:t>
      </w:r>
      <w:r w:rsidRPr="00D02697">
        <w:rPr>
          <w:sz w:val="22"/>
          <w:szCs w:val="22"/>
        </w:rPr>
        <w:t>/КК</w:t>
      </w:r>
    </w:p>
    <w:p w:rsidR="00AE1AD0" w:rsidRPr="00D02697" w:rsidRDefault="00AE1AD0" w:rsidP="00AE1AD0">
      <w:pPr>
        <w:jc w:val="right"/>
        <w:outlineLvl w:val="0"/>
        <w:rPr>
          <w:bCs/>
          <w:sz w:val="22"/>
          <w:szCs w:val="22"/>
        </w:rPr>
      </w:pPr>
      <w:r w:rsidRPr="00D02697">
        <w:rPr>
          <w:bCs/>
          <w:sz w:val="22"/>
          <w:szCs w:val="22"/>
        </w:rPr>
        <w:t>заседания Конкурсной комиссии</w:t>
      </w:r>
    </w:p>
    <w:p w:rsidR="00AE1AD0" w:rsidRPr="00D02697" w:rsidRDefault="00AE1AD0" w:rsidP="00AE1AD0">
      <w:pPr>
        <w:jc w:val="right"/>
        <w:rPr>
          <w:sz w:val="22"/>
          <w:szCs w:val="22"/>
        </w:rPr>
      </w:pPr>
      <w:r w:rsidRPr="00D02697">
        <w:rPr>
          <w:sz w:val="22"/>
          <w:szCs w:val="22"/>
        </w:rPr>
        <w:t>открытого акционерного общества</w:t>
      </w:r>
    </w:p>
    <w:p w:rsidR="00AE1AD0" w:rsidRPr="00D02697" w:rsidRDefault="00280B0E" w:rsidP="00AE1AD0">
      <w:pPr>
        <w:jc w:val="right"/>
        <w:rPr>
          <w:sz w:val="22"/>
          <w:szCs w:val="22"/>
        </w:rPr>
      </w:pPr>
      <w:r>
        <w:rPr>
          <w:sz w:val="22"/>
          <w:szCs w:val="22"/>
        </w:rPr>
        <w:t>«</w:t>
      </w:r>
      <w:r w:rsidR="00AE1AD0" w:rsidRPr="00D02697">
        <w:rPr>
          <w:sz w:val="22"/>
          <w:szCs w:val="22"/>
        </w:rPr>
        <w:t xml:space="preserve">Центр по перевозке грузов в контейнерах </w:t>
      </w:r>
      <w:r>
        <w:rPr>
          <w:sz w:val="22"/>
          <w:szCs w:val="22"/>
        </w:rPr>
        <w:t>«</w:t>
      </w:r>
      <w:r w:rsidR="00AE1AD0" w:rsidRPr="00D02697">
        <w:rPr>
          <w:sz w:val="22"/>
          <w:szCs w:val="22"/>
        </w:rPr>
        <w:t>ТрансКонтейнер</w:t>
      </w:r>
      <w:r>
        <w:rPr>
          <w:sz w:val="22"/>
          <w:szCs w:val="22"/>
        </w:rPr>
        <w:t>»</w:t>
      </w:r>
      <w:r w:rsidR="00AE1AD0" w:rsidRPr="00D02697">
        <w:rPr>
          <w:sz w:val="22"/>
          <w:szCs w:val="22"/>
        </w:rPr>
        <w:t>,</w:t>
      </w:r>
    </w:p>
    <w:p w:rsidR="00AE1AD0" w:rsidRDefault="00AE1AD0" w:rsidP="00AE1AD0">
      <w:pPr>
        <w:jc w:val="right"/>
        <w:rPr>
          <w:sz w:val="22"/>
          <w:szCs w:val="22"/>
        </w:rPr>
      </w:pPr>
      <w:r w:rsidRPr="00D02697">
        <w:rPr>
          <w:sz w:val="22"/>
          <w:szCs w:val="22"/>
        </w:rPr>
        <w:t xml:space="preserve">состоявшегося </w:t>
      </w:r>
      <w:r>
        <w:rPr>
          <w:sz w:val="22"/>
          <w:szCs w:val="22"/>
        </w:rPr>
        <w:t xml:space="preserve"> </w:t>
      </w:r>
      <w:r w:rsidR="00B546B6">
        <w:rPr>
          <w:sz w:val="22"/>
          <w:szCs w:val="22"/>
        </w:rPr>
        <w:t>22</w:t>
      </w:r>
      <w:r>
        <w:rPr>
          <w:sz w:val="22"/>
          <w:szCs w:val="22"/>
        </w:rPr>
        <w:t xml:space="preserve"> </w:t>
      </w:r>
      <w:r w:rsidRPr="00D02697">
        <w:rPr>
          <w:sz w:val="22"/>
          <w:szCs w:val="22"/>
        </w:rPr>
        <w:t xml:space="preserve"> </w:t>
      </w:r>
      <w:r>
        <w:rPr>
          <w:sz w:val="22"/>
          <w:szCs w:val="22"/>
        </w:rPr>
        <w:t xml:space="preserve">апреля </w:t>
      </w:r>
      <w:r w:rsidRPr="00D02697">
        <w:rPr>
          <w:sz w:val="22"/>
          <w:szCs w:val="22"/>
        </w:rPr>
        <w:t xml:space="preserve"> 201</w:t>
      </w:r>
      <w:r>
        <w:rPr>
          <w:sz w:val="22"/>
          <w:szCs w:val="22"/>
        </w:rPr>
        <w:t>4</w:t>
      </w:r>
      <w:r w:rsidRPr="00D02697">
        <w:rPr>
          <w:sz w:val="22"/>
          <w:szCs w:val="22"/>
        </w:rPr>
        <w:t xml:space="preserve"> года</w:t>
      </w:r>
    </w:p>
    <w:p w:rsidR="00AE1AD0" w:rsidRDefault="00AE1AD0" w:rsidP="00AE1AD0">
      <w:pPr>
        <w:tabs>
          <w:tab w:val="left" w:pos="284"/>
          <w:tab w:val="left" w:pos="709"/>
          <w:tab w:val="center" w:pos="4680"/>
          <w:tab w:val="right" w:pos="9355"/>
          <w:tab w:val="left" w:pos="9639"/>
        </w:tabs>
        <w:jc w:val="center"/>
        <w:rPr>
          <w:b/>
          <w:snapToGrid w:val="0"/>
          <w:sz w:val="24"/>
          <w:szCs w:val="24"/>
        </w:rPr>
      </w:pPr>
    </w:p>
    <w:p w:rsidR="00AE1AD0" w:rsidRDefault="00AE1AD0" w:rsidP="00AE1AD0">
      <w:pPr>
        <w:tabs>
          <w:tab w:val="left" w:pos="284"/>
          <w:tab w:val="left" w:pos="709"/>
          <w:tab w:val="center" w:pos="4680"/>
          <w:tab w:val="right" w:pos="9355"/>
          <w:tab w:val="left" w:pos="9639"/>
        </w:tabs>
        <w:jc w:val="center"/>
        <w:rPr>
          <w:b/>
          <w:snapToGrid w:val="0"/>
          <w:sz w:val="24"/>
          <w:szCs w:val="24"/>
        </w:rPr>
      </w:pPr>
    </w:p>
    <w:p w:rsidR="00AE1AD0" w:rsidRPr="00AE1AD0" w:rsidRDefault="00AE1AD0" w:rsidP="00AE1AD0">
      <w:pPr>
        <w:tabs>
          <w:tab w:val="left" w:pos="284"/>
          <w:tab w:val="left" w:pos="709"/>
          <w:tab w:val="center" w:pos="4680"/>
          <w:tab w:val="right" w:pos="9355"/>
          <w:tab w:val="left" w:pos="9639"/>
        </w:tabs>
        <w:jc w:val="center"/>
        <w:rPr>
          <w:b/>
          <w:snapToGrid w:val="0"/>
          <w:sz w:val="24"/>
          <w:szCs w:val="24"/>
        </w:rPr>
      </w:pPr>
      <w:r w:rsidRPr="00AE1AD0">
        <w:rPr>
          <w:b/>
          <w:snapToGrid w:val="0"/>
          <w:sz w:val="24"/>
          <w:szCs w:val="24"/>
        </w:rPr>
        <w:t>Перечень Удаленных офисов, которые могут использовать Системы в режиме Удаленного сетевого доступа.</w:t>
      </w:r>
    </w:p>
    <w:p w:rsidR="00AE1AD0" w:rsidRPr="00AE1AD0" w:rsidRDefault="00AE1AD0" w:rsidP="00AE1AD0">
      <w:pPr>
        <w:tabs>
          <w:tab w:val="left" w:pos="284"/>
          <w:tab w:val="left" w:pos="709"/>
          <w:tab w:val="center" w:pos="4680"/>
          <w:tab w:val="right" w:pos="9355"/>
          <w:tab w:val="left" w:pos="9639"/>
        </w:tabs>
        <w:jc w:val="center"/>
        <w:rPr>
          <w:snapToGrid w:val="0"/>
          <w:sz w:val="20"/>
        </w:rPr>
      </w:pPr>
    </w:p>
    <w:p w:rsidR="00AE1AD0" w:rsidRPr="00AE1AD0" w:rsidRDefault="00AE1AD0" w:rsidP="00AE1AD0">
      <w:pPr>
        <w:tabs>
          <w:tab w:val="left" w:pos="709"/>
        </w:tabs>
        <w:ind w:firstLine="709"/>
        <w:jc w:val="center"/>
        <w:rPr>
          <w:rFonts w:ascii="PragmaticaCondCTT" w:hAnsi="PragmaticaCondCTT" w:cs="Arial"/>
          <w:bCs/>
          <w:snapToGrid w:val="0"/>
          <w:sz w:val="20"/>
          <w:u w:val="single"/>
        </w:rPr>
      </w:pPr>
      <w:r w:rsidRPr="00AE1AD0">
        <w:rPr>
          <w:rFonts w:ascii="PragmaticaCondCTT" w:hAnsi="PragmaticaCondCTT" w:cs="Arial"/>
          <w:bCs/>
          <w:snapToGrid w:val="0"/>
          <w:sz w:val="20"/>
          <w:u w:val="single"/>
        </w:rPr>
        <w:t>Расположенные в пределах Московской области (МО):</w:t>
      </w:r>
    </w:p>
    <w:p w:rsidR="00AE1AD0" w:rsidRPr="00AE1AD0" w:rsidRDefault="00AE1AD0" w:rsidP="00AE1AD0">
      <w:pPr>
        <w:tabs>
          <w:tab w:val="left" w:pos="709"/>
        </w:tabs>
        <w:ind w:firstLine="709"/>
        <w:jc w:val="center"/>
        <w:rPr>
          <w:rFonts w:ascii="PragmaticaCondCTT" w:hAnsi="PragmaticaCondCTT" w:cs="Arial"/>
          <w:bCs/>
          <w:snapToGrid w:val="0"/>
          <w:sz w:val="20"/>
          <w:u w:val="single"/>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376"/>
        <w:gridCol w:w="4598"/>
      </w:tblGrid>
      <w:tr w:rsidR="00AE1AD0"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N</w:t>
            </w:r>
          </w:p>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п/п</w:t>
            </w:r>
          </w:p>
        </w:tc>
        <w:tc>
          <w:tcPr>
            <w:tcW w:w="2227"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 xml:space="preserve">Наименование </w:t>
            </w:r>
          </w:p>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Удаленного офиса</w:t>
            </w:r>
          </w:p>
        </w:tc>
        <w:tc>
          <w:tcPr>
            <w:tcW w:w="2340"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 xml:space="preserve">Фактический адрес </w:t>
            </w:r>
          </w:p>
          <w:p w:rsidR="00AE1AD0" w:rsidRPr="00AE1AD0" w:rsidRDefault="00AE1AD0" w:rsidP="00AE1AD0">
            <w:pPr>
              <w:autoSpaceDE w:val="0"/>
              <w:autoSpaceDN w:val="0"/>
              <w:jc w:val="center"/>
              <w:rPr>
                <w:rFonts w:ascii="PragmaticaCondCTT" w:hAnsi="PragmaticaCondCTT" w:cs="Arial"/>
                <w:sz w:val="20"/>
              </w:rPr>
            </w:pPr>
            <w:r w:rsidRPr="00AE1AD0">
              <w:rPr>
                <w:rFonts w:ascii="PragmaticaCondCTT" w:hAnsi="PragmaticaCondCTT" w:cs="Arial"/>
                <w:bCs/>
                <w:sz w:val="20"/>
              </w:rPr>
              <w:t>Удаленного офиса</w:t>
            </w:r>
          </w:p>
        </w:tc>
      </w:tr>
      <w:tr w:rsidR="00AE1AD0"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w:t>
            </w:r>
          </w:p>
        </w:tc>
        <w:tc>
          <w:tcPr>
            <w:tcW w:w="2227"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tabs>
                <w:tab w:val="left" w:pos="709"/>
              </w:tabs>
              <w:ind w:firstLine="709"/>
              <w:rPr>
                <w:rFonts w:ascii="PragmaticaCondCTT" w:hAnsi="PragmaticaCondCTT"/>
                <w:snapToGrid w:val="0"/>
                <w:spacing w:val="2"/>
                <w:sz w:val="20"/>
              </w:rPr>
            </w:pPr>
            <w:r w:rsidRPr="00AE1AD0">
              <w:rPr>
                <w:rFonts w:ascii="PragmaticaCondCTT" w:hAnsi="PragmaticaCondCTT"/>
                <w:snapToGrid w:val="0"/>
                <w:spacing w:val="2"/>
                <w:sz w:val="20"/>
              </w:rPr>
              <w:t xml:space="preserve">Филиал ОАО </w:t>
            </w:r>
            <w:r w:rsidR="00280B0E">
              <w:rPr>
                <w:rFonts w:ascii="PragmaticaCondCTT" w:hAnsi="PragmaticaCondCTT"/>
                <w:snapToGrid w:val="0"/>
                <w:spacing w:val="2"/>
                <w:sz w:val="20"/>
              </w:rPr>
              <w:t>«</w:t>
            </w:r>
            <w:r w:rsidRPr="00AE1AD0">
              <w:rPr>
                <w:rFonts w:ascii="PragmaticaCondCTT" w:hAnsi="PragmaticaCondCTT"/>
                <w:snapToGrid w:val="0"/>
                <w:spacing w:val="2"/>
                <w:sz w:val="20"/>
              </w:rPr>
              <w:t>ТрансКонтейнер</w:t>
            </w:r>
            <w:r w:rsidR="00280B0E">
              <w:rPr>
                <w:rFonts w:ascii="PragmaticaCondCTT" w:hAnsi="PragmaticaCondCTT"/>
                <w:snapToGrid w:val="0"/>
                <w:spacing w:val="2"/>
                <w:sz w:val="20"/>
              </w:rPr>
              <w:t>»</w:t>
            </w:r>
            <w:r w:rsidRPr="00AE1AD0">
              <w:rPr>
                <w:rFonts w:ascii="PragmaticaCondCTT" w:hAnsi="PragmaticaCondCTT"/>
                <w:snapToGrid w:val="0"/>
                <w:spacing w:val="2"/>
                <w:sz w:val="20"/>
              </w:rPr>
              <w:t xml:space="preserve"> на Московской железной дороге.</w:t>
            </w:r>
          </w:p>
        </w:tc>
        <w:tc>
          <w:tcPr>
            <w:tcW w:w="2340"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rPr>
                <w:rFonts w:ascii="PragmaticaCondCTT" w:hAnsi="PragmaticaCondCTT" w:cs="Arial"/>
                <w:sz w:val="20"/>
              </w:rPr>
            </w:pPr>
            <w:r w:rsidRPr="00AE1AD0">
              <w:rPr>
                <w:rFonts w:ascii="PragmaticaCondCTT" w:hAnsi="PragmaticaCondCTT" w:cs="Arial"/>
                <w:sz w:val="20"/>
              </w:rPr>
              <w:t>107014, г. Москва, Короленко, д. 8</w:t>
            </w:r>
          </w:p>
        </w:tc>
      </w:tr>
    </w:tbl>
    <w:p w:rsidR="00AE1AD0" w:rsidRPr="00AE1AD0" w:rsidRDefault="00AE1AD0" w:rsidP="00AE1AD0">
      <w:pPr>
        <w:tabs>
          <w:tab w:val="left" w:pos="709"/>
        </w:tabs>
        <w:ind w:firstLine="709"/>
        <w:jc w:val="both"/>
        <w:rPr>
          <w:rFonts w:ascii="PragmaticaCondCTT" w:hAnsi="PragmaticaCondCTT" w:cs="Arial"/>
          <w:b/>
          <w:bCs/>
          <w:snapToGrid w:val="0"/>
          <w:sz w:val="20"/>
        </w:rPr>
      </w:pPr>
    </w:p>
    <w:p w:rsidR="00AE1AD0" w:rsidRPr="00AE1AD0" w:rsidRDefault="00AE1AD0" w:rsidP="00AE1AD0">
      <w:pPr>
        <w:tabs>
          <w:tab w:val="left" w:pos="709"/>
        </w:tabs>
        <w:ind w:firstLine="709"/>
        <w:jc w:val="center"/>
        <w:rPr>
          <w:rFonts w:ascii="PragmaticaCondCTT" w:hAnsi="PragmaticaCondCTT" w:cs="Arial"/>
          <w:bCs/>
          <w:snapToGrid w:val="0"/>
          <w:sz w:val="20"/>
          <w:u w:val="single"/>
        </w:rPr>
      </w:pPr>
      <w:r w:rsidRPr="00AE1AD0">
        <w:rPr>
          <w:rFonts w:ascii="PragmaticaCondCTT" w:hAnsi="PragmaticaCondCTT" w:cs="Arial"/>
          <w:bCs/>
          <w:snapToGrid w:val="0"/>
          <w:sz w:val="20"/>
          <w:u w:val="single"/>
        </w:rPr>
        <w:t>Расположенные за пределами Московской области (МО):</w:t>
      </w:r>
    </w:p>
    <w:p w:rsidR="00AE1AD0" w:rsidRPr="00AE1AD0" w:rsidRDefault="00AE1AD0" w:rsidP="00AE1AD0">
      <w:pPr>
        <w:tabs>
          <w:tab w:val="left" w:pos="709"/>
        </w:tabs>
        <w:ind w:firstLine="709"/>
        <w:jc w:val="center"/>
        <w:rPr>
          <w:rFonts w:ascii="PragmaticaCondCTT" w:hAnsi="PragmaticaCondCTT" w:cs="Arial"/>
          <w:bCs/>
          <w:snapToGrid w:val="0"/>
          <w:sz w:val="20"/>
          <w:u w:val="single"/>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235"/>
        <w:gridCol w:w="4740"/>
      </w:tblGrid>
      <w:tr w:rsidR="00AE1AD0"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N</w:t>
            </w:r>
          </w:p>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п/п</w:t>
            </w:r>
          </w:p>
        </w:tc>
        <w:tc>
          <w:tcPr>
            <w:tcW w:w="2155"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 xml:space="preserve">Наименование </w:t>
            </w:r>
          </w:p>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 xml:space="preserve">Фактический адрес </w:t>
            </w:r>
          </w:p>
          <w:p w:rsidR="00AE1AD0" w:rsidRPr="00AE1AD0" w:rsidRDefault="00AE1AD0"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Удаленного офиса</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19100</w:t>
            </w:r>
            <w:r>
              <w:rPr>
                <w:rFonts w:ascii="PragmaticaCondCTT" w:hAnsi="PragmaticaCondCTT" w:cs="Arial"/>
                <w:bCs/>
                <w:sz w:val="20"/>
              </w:rPr>
              <w:t>7</w:t>
            </w:r>
            <w:r w:rsidRPr="00AE1AD0">
              <w:rPr>
                <w:rFonts w:ascii="PragmaticaCondCTT" w:hAnsi="PragmaticaCondCTT" w:cs="Arial"/>
                <w:bCs/>
                <w:sz w:val="20"/>
              </w:rPr>
              <w:t xml:space="preserve">, г. Санкт-Петербург, </w:t>
            </w:r>
            <w:r w:rsidRPr="00AF0A7C">
              <w:rPr>
                <w:rFonts w:ascii="PragmaticaCondCTT" w:hAnsi="PragmaticaCondCTT" w:cs="Arial"/>
                <w:bCs/>
                <w:sz w:val="20"/>
              </w:rPr>
              <w:t>пр-т Лиговский, 240, литер А</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2</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150003, г. Ярославль, ул. Кооперативная,  д.8 </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3</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603116, г. Нижний Новгород, ул. Московское шоссе, д. 17а</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4</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394036, г. Воронеж, ул. Студенческая, д.26а, 2-й этаж</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5</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Северо-Кавказской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344019, г. Ростов-на-Дону, ул. Закруткина, д. 67в/2б</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6</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443041, г. Самара,  ул. Льва Толстого, 131</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7</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410017, г.Саратов, ул.Шелковичная , д. 11/15</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8</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F0A7C">
              <w:rPr>
                <w:rFonts w:ascii="PragmaticaCondCTT" w:hAnsi="PragmaticaCondCTT" w:cs="Arial"/>
                <w:bCs/>
                <w:sz w:val="20"/>
              </w:rPr>
              <w:t>454005, г. Челябинск, ул. Цвиллинга, д. 61</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9</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620027, Екатеринбург, ул. Николая Никонова, д.8</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10</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Западно-Сибирской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F0A7C">
              <w:rPr>
                <w:rFonts w:ascii="PragmaticaCondCTT" w:hAnsi="PragmaticaCondCTT" w:cs="Arial"/>
                <w:bCs/>
                <w:sz w:val="20"/>
              </w:rPr>
              <w:t>630082</w:t>
            </w:r>
            <w:r w:rsidRPr="00AE1AD0">
              <w:rPr>
                <w:rFonts w:ascii="PragmaticaCondCTT" w:hAnsi="PragmaticaCondCTT" w:cs="Arial"/>
                <w:bCs/>
                <w:sz w:val="20"/>
              </w:rPr>
              <w:t>, г. Новосибирск, ул. Жуковского, д.102</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11</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660049, г. Красноярск, ул. Карла Маркса, д. 95, корп. 1.</w:t>
            </w:r>
            <w:r>
              <w:rPr>
                <w:rFonts w:ascii="PragmaticaCondCTT" w:hAnsi="PragmaticaCondCTT" w:cs="Arial"/>
                <w:bCs/>
                <w:sz w:val="20"/>
              </w:rPr>
              <w:t>,</w:t>
            </w:r>
            <w:r>
              <w:t xml:space="preserve"> </w:t>
            </w:r>
            <w:r w:rsidRPr="00AF0A7C">
              <w:rPr>
                <w:rFonts w:ascii="PragmaticaCondCTT" w:hAnsi="PragmaticaCondCTT" w:cs="Arial"/>
                <w:bCs/>
                <w:sz w:val="20"/>
              </w:rPr>
              <w:t>6 этаж</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12</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Восточно-Сибирской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F0A7C">
              <w:rPr>
                <w:rFonts w:ascii="PragmaticaCondCTT" w:hAnsi="PragmaticaCondCTT" w:cs="Arial"/>
                <w:bCs/>
                <w:sz w:val="20"/>
              </w:rPr>
              <w:t>664003</w:t>
            </w:r>
            <w:r>
              <w:rPr>
                <w:rFonts w:ascii="PragmaticaCondCTT" w:hAnsi="PragmaticaCondCTT" w:cs="Arial"/>
                <w:bCs/>
                <w:sz w:val="20"/>
              </w:rPr>
              <w:t xml:space="preserve">, </w:t>
            </w:r>
            <w:r w:rsidRPr="00AE1AD0">
              <w:rPr>
                <w:rFonts w:ascii="PragmaticaCondCTT" w:hAnsi="PragmaticaCondCTT" w:cs="Arial"/>
                <w:bCs/>
                <w:sz w:val="20"/>
              </w:rPr>
              <w:t>г.Иркутск, ул.Коммунаров, д. 1А</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13</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672000, г.Чита, ул. Анохина, д. 91, к. 2</w:t>
            </w:r>
          </w:p>
        </w:tc>
      </w:tr>
      <w:tr w:rsidR="00A179B6" w:rsidRPr="00AE1AD0" w:rsidTr="00191797">
        <w:tc>
          <w:tcPr>
            <w:tcW w:w="433"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jc w:val="center"/>
              <w:rPr>
                <w:rFonts w:ascii="PragmaticaCondCTT" w:hAnsi="PragmaticaCondCTT" w:cs="Arial"/>
                <w:bCs/>
                <w:sz w:val="20"/>
              </w:rPr>
            </w:pPr>
            <w:r w:rsidRPr="00AE1AD0">
              <w:rPr>
                <w:rFonts w:ascii="PragmaticaCondCTT" w:hAnsi="PragmaticaCondCTT" w:cs="Arial"/>
                <w:bCs/>
                <w:sz w:val="20"/>
              </w:rPr>
              <w:t>14</w:t>
            </w:r>
          </w:p>
        </w:tc>
        <w:tc>
          <w:tcPr>
            <w:tcW w:w="2155"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 xml:space="preserve">Филиал ОАО </w:t>
            </w:r>
            <w:r>
              <w:rPr>
                <w:rFonts w:ascii="PragmaticaCondCTT" w:hAnsi="PragmaticaCondCTT" w:cs="Arial"/>
                <w:bCs/>
                <w:sz w:val="20"/>
              </w:rPr>
              <w:t>«</w:t>
            </w:r>
            <w:r w:rsidRPr="00AE1AD0">
              <w:rPr>
                <w:rFonts w:ascii="PragmaticaCondCTT" w:hAnsi="PragmaticaCondCTT" w:cs="Arial"/>
                <w:bCs/>
                <w:sz w:val="20"/>
              </w:rPr>
              <w:t>ТрансКонтейнер</w:t>
            </w:r>
            <w:r>
              <w:rPr>
                <w:rFonts w:ascii="PragmaticaCondCTT" w:hAnsi="PragmaticaCondCTT" w:cs="Arial"/>
                <w:bCs/>
                <w:sz w:val="20"/>
              </w:rPr>
              <w:t>»</w:t>
            </w:r>
            <w:r w:rsidRPr="00AE1AD0">
              <w:rPr>
                <w:rFonts w:ascii="PragmaticaCondCTT" w:hAnsi="PragmaticaCondCTT" w:cs="Arial"/>
                <w:bCs/>
                <w:sz w:val="20"/>
              </w:rPr>
              <w:t xml:space="preserve">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A179B6" w:rsidRPr="00AE1AD0" w:rsidRDefault="00A179B6" w:rsidP="00AE1AD0">
            <w:pPr>
              <w:autoSpaceDE w:val="0"/>
              <w:autoSpaceDN w:val="0"/>
              <w:spacing w:before="120"/>
              <w:rPr>
                <w:rFonts w:ascii="PragmaticaCondCTT" w:hAnsi="PragmaticaCondCTT" w:cs="Arial"/>
                <w:bCs/>
                <w:sz w:val="20"/>
              </w:rPr>
            </w:pPr>
            <w:r w:rsidRPr="00AE1AD0">
              <w:rPr>
                <w:rFonts w:ascii="PragmaticaCondCTT" w:hAnsi="PragmaticaCondCTT" w:cs="Arial"/>
                <w:bCs/>
                <w:sz w:val="20"/>
              </w:rPr>
              <w:t>680000, г. Хабаровск, ул. Дзержинского, д. 65, 3 этаж</w:t>
            </w:r>
          </w:p>
        </w:tc>
      </w:tr>
    </w:tbl>
    <w:p w:rsidR="00AE1AD0" w:rsidRPr="00AE1AD0" w:rsidRDefault="00AE1AD0" w:rsidP="00AE1AD0">
      <w:pPr>
        <w:tabs>
          <w:tab w:val="left" w:pos="284"/>
          <w:tab w:val="left" w:pos="709"/>
          <w:tab w:val="center" w:pos="4680"/>
          <w:tab w:val="right" w:pos="9355"/>
          <w:tab w:val="left" w:pos="9639"/>
        </w:tabs>
        <w:jc w:val="both"/>
        <w:rPr>
          <w:snapToGrid w:val="0"/>
          <w:sz w:val="20"/>
        </w:rPr>
      </w:pPr>
    </w:p>
    <w:p w:rsidR="00753493" w:rsidRPr="00373BCA" w:rsidRDefault="00753493" w:rsidP="00B9531C">
      <w:pPr>
        <w:rPr>
          <w:szCs w:val="28"/>
        </w:rPr>
      </w:pPr>
    </w:p>
    <w:sectPr w:rsidR="00753493" w:rsidRPr="00373BCA"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B3F" w:rsidRDefault="00695B3F" w:rsidP="00B470FA">
      <w:r>
        <w:separator/>
      </w:r>
    </w:p>
  </w:endnote>
  <w:endnote w:type="continuationSeparator" w:id="1">
    <w:p w:rsidR="00695B3F" w:rsidRDefault="00695B3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B3F" w:rsidRDefault="00695B3F" w:rsidP="00B470FA">
      <w:r>
        <w:separator/>
      </w:r>
    </w:p>
  </w:footnote>
  <w:footnote w:type="continuationSeparator" w:id="1">
    <w:p w:rsidR="00695B3F" w:rsidRDefault="00695B3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6520FF" w:rsidRPr="00636E16" w:rsidRDefault="003F106C" w:rsidP="00636E16">
        <w:pPr>
          <w:pStyle w:val="aff"/>
          <w:jc w:val="center"/>
          <w:rPr>
            <w:sz w:val="24"/>
            <w:szCs w:val="24"/>
          </w:rPr>
        </w:pPr>
        <w:r w:rsidRPr="00636E16">
          <w:rPr>
            <w:sz w:val="24"/>
            <w:szCs w:val="24"/>
          </w:rPr>
          <w:fldChar w:fldCharType="begin"/>
        </w:r>
        <w:r w:rsidR="006520FF" w:rsidRPr="00636E16">
          <w:rPr>
            <w:sz w:val="24"/>
            <w:szCs w:val="24"/>
          </w:rPr>
          <w:instrText>PAGE   \* MERGEFORMAT</w:instrText>
        </w:r>
        <w:r w:rsidRPr="00636E16">
          <w:rPr>
            <w:sz w:val="24"/>
            <w:szCs w:val="24"/>
          </w:rPr>
          <w:fldChar w:fldCharType="separate"/>
        </w:r>
        <w:r w:rsidR="002E307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3">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16DF1E8C"/>
    <w:multiLevelType w:val="multilevel"/>
    <w:tmpl w:val="CBEA522E"/>
    <w:lvl w:ilvl="0">
      <w:start w:val="1"/>
      <w:numFmt w:val="decimal"/>
      <w:lvlText w:val="%1."/>
      <w:lvlJc w:val="left"/>
      <w:pPr>
        <w:ind w:left="108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2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337D00D1"/>
    <w:multiLevelType w:val="hybridMultilevel"/>
    <w:tmpl w:val="62EC552C"/>
    <w:lvl w:ilvl="0" w:tplc="6BB6ABE0">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9">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6">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3">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6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9">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71">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77"/>
  </w:num>
  <w:num w:numId="2">
    <w:abstractNumId w:val="73"/>
  </w:num>
  <w:num w:numId="3">
    <w:abstractNumId w:val="46"/>
  </w:num>
  <w:num w:numId="4">
    <w:abstractNumId w:val="11"/>
  </w:num>
  <w:num w:numId="5">
    <w:abstractNumId w:val="10"/>
  </w:num>
  <w:num w:numId="6">
    <w:abstractNumId w:val="0"/>
  </w:num>
  <w:num w:numId="7">
    <w:abstractNumId w:val="70"/>
  </w:num>
  <w:num w:numId="8">
    <w:abstractNumId w:val="25"/>
  </w:num>
  <w:num w:numId="9">
    <w:abstractNumId w:val="58"/>
  </w:num>
  <w:num w:numId="10">
    <w:abstractNumId w:val="53"/>
  </w:num>
  <w:num w:numId="11">
    <w:abstractNumId w:val="45"/>
  </w:num>
  <w:num w:numId="12">
    <w:abstractNumId w:val="36"/>
  </w:num>
  <w:num w:numId="13">
    <w:abstractNumId w:val="73"/>
  </w:num>
  <w:num w:numId="14">
    <w:abstractNumId w:val="42"/>
  </w:num>
  <w:num w:numId="15">
    <w:abstractNumId w:val="68"/>
  </w:num>
  <w:num w:numId="16">
    <w:abstractNumId w:val="50"/>
  </w:num>
  <w:num w:numId="17">
    <w:abstractNumId w:val="73"/>
  </w:num>
  <w:num w:numId="18">
    <w:abstractNumId w:val="30"/>
  </w:num>
  <w:num w:numId="19">
    <w:abstractNumId w:val="38"/>
  </w:num>
  <w:num w:numId="20">
    <w:abstractNumId w:val="78"/>
  </w:num>
  <w:num w:numId="21">
    <w:abstractNumId w:val="55"/>
  </w:num>
  <w:num w:numId="22">
    <w:abstractNumId w:val="27"/>
  </w:num>
  <w:num w:numId="23">
    <w:abstractNumId w:val="23"/>
  </w:num>
  <w:num w:numId="24">
    <w:abstractNumId w:val="64"/>
  </w:num>
  <w:num w:numId="25">
    <w:abstractNumId w:val="52"/>
  </w:num>
  <w:num w:numId="26">
    <w:abstractNumId w:val="73"/>
  </w:num>
  <w:num w:numId="27">
    <w:abstractNumId w:val="74"/>
  </w:num>
  <w:num w:numId="28">
    <w:abstractNumId w:val="59"/>
  </w:num>
  <w:num w:numId="29">
    <w:abstractNumId w:val="35"/>
  </w:num>
  <w:num w:numId="30">
    <w:abstractNumId w:val="21"/>
  </w:num>
  <w:num w:numId="31">
    <w:abstractNumId w:val="31"/>
  </w:num>
  <w:num w:numId="32">
    <w:abstractNumId w:val="29"/>
  </w:num>
  <w:num w:numId="33">
    <w:abstractNumId w:val="17"/>
  </w:num>
  <w:num w:numId="34">
    <w:abstractNumId w:val="60"/>
  </w:num>
  <w:num w:numId="35">
    <w:abstractNumId w:val="49"/>
  </w:num>
  <w:num w:numId="36">
    <w:abstractNumId w:val="24"/>
  </w:num>
  <w:num w:numId="37">
    <w:abstractNumId w:val="22"/>
  </w:num>
  <w:num w:numId="38">
    <w:abstractNumId w:val="47"/>
  </w:num>
  <w:num w:numId="39">
    <w:abstractNumId w:val="40"/>
  </w:num>
  <w:num w:numId="40">
    <w:abstractNumId w:val="63"/>
  </w:num>
  <w:num w:numId="41">
    <w:abstractNumId w:val="39"/>
  </w:num>
  <w:num w:numId="42">
    <w:abstractNumId w:val="8"/>
  </w:num>
  <w:num w:numId="43">
    <w:abstractNumId w:val="18"/>
  </w:num>
  <w:num w:numId="44">
    <w:abstractNumId w:val="37"/>
  </w:num>
  <w:num w:numId="45">
    <w:abstractNumId w:val="61"/>
  </w:num>
  <w:num w:numId="4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69"/>
  </w:num>
  <w:num w:numId="50">
    <w:abstractNumId w:val="72"/>
  </w:num>
  <w:num w:numId="51">
    <w:abstractNumId w:val="32"/>
  </w:num>
  <w:num w:numId="52">
    <w:abstractNumId w:val="79"/>
  </w:num>
  <w:num w:numId="53">
    <w:abstractNumId w:val="34"/>
  </w:num>
  <w:num w:numId="54">
    <w:abstractNumId w:val="75"/>
  </w:num>
  <w:num w:numId="55">
    <w:abstractNumId w:val="12"/>
  </w:num>
  <w:num w:numId="56">
    <w:abstractNumId w:val="76"/>
  </w:num>
  <w:num w:numId="57">
    <w:abstractNumId w:val="43"/>
  </w:num>
  <w:num w:numId="58">
    <w:abstractNumId w:val="57"/>
  </w:num>
  <w:num w:numId="59">
    <w:abstractNumId w:val="62"/>
  </w:num>
  <w:num w:numId="60">
    <w:abstractNumId w:val="54"/>
  </w:num>
  <w:num w:numId="61">
    <w:abstractNumId w:val="71"/>
  </w:num>
  <w:num w:numId="62">
    <w:abstractNumId w:val="51"/>
  </w:num>
  <w:num w:numId="63">
    <w:abstractNumId w:val="66"/>
  </w:num>
  <w:num w:numId="64">
    <w:abstractNumId w:val="65"/>
  </w:num>
  <w:num w:numId="65">
    <w:abstractNumId w:val="48"/>
  </w:num>
  <w:num w:numId="66">
    <w:abstractNumId w:val="44"/>
  </w:num>
  <w:num w:numId="67">
    <w:abstractNumId w:val="7"/>
  </w:num>
  <w:num w:numId="68">
    <w:abstractNumId w:val="26"/>
  </w:num>
  <w:num w:numId="69">
    <w:abstractNumId w:val="41"/>
  </w:num>
  <w:num w:numId="70">
    <w:abstractNumId w:val="14"/>
  </w:num>
  <w:num w:numId="71">
    <w:abstractNumId w:val="20"/>
  </w:num>
  <w:num w:numId="72">
    <w:abstractNumId w:val="13"/>
  </w:num>
  <w:num w:numId="73">
    <w:abstractNumId w:val="33"/>
  </w:num>
  <w:num w:numId="74">
    <w:abstractNumId w:val="67"/>
  </w:num>
  <w:num w:numId="75">
    <w:abstractNumId w:val="9"/>
  </w:num>
  <w:num w:numId="76">
    <w:abstractNumId w:val="15"/>
  </w:num>
  <w:num w:numId="77">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4F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E24"/>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208B"/>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1B7E"/>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A1E"/>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477"/>
    <w:rsid w:val="00242935"/>
    <w:rsid w:val="00243828"/>
    <w:rsid w:val="002441D8"/>
    <w:rsid w:val="002470F0"/>
    <w:rsid w:val="0024789C"/>
    <w:rsid w:val="00250947"/>
    <w:rsid w:val="002512A8"/>
    <w:rsid w:val="00251F1A"/>
    <w:rsid w:val="00252EC9"/>
    <w:rsid w:val="00253CE8"/>
    <w:rsid w:val="00253F13"/>
    <w:rsid w:val="00254122"/>
    <w:rsid w:val="002543F2"/>
    <w:rsid w:val="00256977"/>
    <w:rsid w:val="0026013A"/>
    <w:rsid w:val="00260C00"/>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6D12"/>
    <w:rsid w:val="00286EC2"/>
    <w:rsid w:val="002871F2"/>
    <w:rsid w:val="002873F5"/>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6BEC"/>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07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588"/>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40"/>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06C"/>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6EB6"/>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1E8C"/>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4756"/>
    <w:rsid w:val="0051580E"/>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5974"/>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C74"/>
    <w:rsid w:val="00642E6F"/>
    <w:rsid w:val="006439BA"/>
    <w:rsid w:val="0064447E"/>
    <w:rsid w:val="00644BA1"/>
    <w:rsid w:val="00645627"/>
    <w:rsid w:val="00645D23"/>
    <w:rsid w:val="006468EE"/>
    <w:rsid w:val="00646B44"/>
    <w:rsid w:val="00647729"/>
    <w:rsid w:val="006479BD"/>
    <w:rsid w:val="00647A1D"/>
    <w:rsid w:val="00651A69"/>
    <w:rsid w:val="006520FF"/>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F52"/>
    <w:rsid w:val="006950F8"/>
    <w:rsid w:val="00695A30"/>
    <w:rsid w:val="00695B3F"/>
    <w:rsid w:val="006972AE"/>
    <w:rsid w:val="006972E3"/>
    <w:rsid w:val="0069790D"/>
    <w:rsid w:val="0069799A"/>
    <w:rsid w:val="00697B51"/>
    <w:rsid w:val="006A04CA"/>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0F4E"/>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625E"/>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50D4"/>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2CA3"/>
    <w:rsid w:val="008F64DE"/>
    <w:rsid w:val="008F6AE7"/>
    <w:rsid w:val="008F77FE"/>
    <w:rsid w:val="008F7DCA"/>
    <w:rsid w:val="00900597"/>
    <w:rsid w:val="00900772"/>
    <w:rsid w:val="00901E5C"/>
    <w:rsid w:val="00901F82"/>
    <w:rsid w:val="009052AA"/>
    <w:rsid w:val="009055DB"/>
    <w:rsid w:val="00906113"/>
    <w:rsid w:val="0090643E"/>
    <w:rsid w:val="009079EC"/>
    <w:rsid w:val="00910F7C"/>
    <w:rsid w:val="00911209"/>
    <w:rsid w:val="00911E47"/>
    <w:rsid w:val="0091263C"/>
    <w:rsid w:val="009126C5"/>
    <w:rsid w:val="00912731"/>
    <w:rsid w:val="009163AC"/>
    <w:rsid w:val="00916968"/>
    <w:rsid w:val="00916F04"/>
    <w:rsid w:val="00917404"/>
    <w:rsid w:val="009177BB"/>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0D5"/>
    <w:rsid w:val="00931160"/>
    <w:rsid w:val="00932932"/>
    <w:rsid w:val="00933184"/>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19E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2B14"/>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358"/>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19B6"/>
    <w:rsid w:val="00AF21FD"/>
    <w:rsid w:val="00AF4585"/>
    <w:rsid w:val="00AF49BF"/>
    <w:rsid w:val="00AF4AD1"/>
    <w:rsid w:val="00AF5455"/>
    <w:rsid w:val="00AF6F41"/>
    <w:rsid w:val="00B02F2D"/>
    <w:rsid w:val="00B038FF"/>
    <w:rsid w:val="00B04279"/>
    <w:rsid w:val="00B04F36"/>
    <w:rsid w:val="00B06CEE"/>
    <w:rsid w:val="00B07E82"/>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549"/>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62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6F5E"/>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8390-EF63-46FF-8A68-9301821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1812</Words>
  <Characters>15500</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2014-05-15T14:27:00Z</cp:lastPrinted>
  <dcterms:created xsi:type="dcterms:W3CDTF">2014-05-20T15:03:00Z</dcterms:created>
  <dcterms:modified xsi:type="dcterms:W3CDTF">2014-05-20T15:03:00Z</dcterms:modified>
</cp:coreProperties>
</file>