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DE5157"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856B5B">
        <w:rPr>
          <w:b/>
          <w:bCs/>
          <w:szCs w:val="28"/>
        </w:rPr>
        <w:t>6</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856B5B">
        <w:rPr>
          <w:b/>
          <w:bCs/>
          <w:szCs w:val="28"/>
        </w:rPr>
        <w:t>4</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724209" w:rsidRPr="00161575" w:rsidTr="0057231E">
        <w:trPr>
          <w:trHeight w:val="454"/>
        </w:trPr>
        <w:tc>
          <w:tcPr>
            <w:tcW w:w="2517" w:type="dxa"/>
          </w:tcPr>
          <w:p w:rsidR="00724209" w:rsidRPr="00161575" w:rsidRDefault="00724209" w:rsidP="00C35F93">
            <w:pPr>
              <w:rPr>
                <w:szCs w:val="28"/>
              </w:rPr>
            </w:pPr>
          </w:p>
        </w:tc>
        <w:tc>
          <w:tcPr>
            <w:tcW w:w="4962" w:type="dxa"/>
          </w:tcPr>
          <w:p w:rsidR="00724209" w:rsidRPr="00161575" w:rsidRDefault="00724209" w:rsidP="0021347D">
            <w:pPr>
              <w:rPr>
                <w:szCs w:val="28"/>
              </w:rPr>
            </w:pPr>
          </w:p>
        </w:tc>
        <w:tc>
          <w:tcPr>
            <w:tcW w:w="2399" w:type="dxa"/>
          </w:tcPr>
          <w:p w:rsidR="00724209" w:rsidRPr="00161575" w:rsidRDefault="00724209" w:rsidP="0057231E">
            <w:pPr>
              <w:ind w:left="176" w:hanging="142"/>
              <w:rPr>
                <w:szCs w:val="28"/>
              </w:rPr>
            </w:pPr>
            <w:r w:rsidRPr="00161575">
              <w:rPr>
                <w:szCs w:val="28"/>
              </w:rPr>
              <w:t>- член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4679A3">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AC18C8" w:rsidRPr="00161575" w:rsidTr="00E81192">
        <w:trPr>
          <w:trHeight w:val="271"/>
        </w:trPr>
        <w:tc>
          <w:tcPr>
            <w:tcW w:w="2517" w:type="dxa"/>
          </w:tcPr>
          <w:p w:rsidR="00AC18C8" w:rsidRDefault="00AC18C8" w:rsidP="00553631">
            <w:pPr>
              <w:rPr>
                <w:szCs w:val="28"/>
              </w:rPr>
            </w:pPr>
          </w:p>
        </w:tc>
        <w:tc>
          <w:tcPr>
            <w:tcW w:w="4962" w:type="dxa"/>
          </w:tcPr>
          <w:p w:rsidR="00AC18C8" w:rsidRPr="00161575" w:rsidRDefault="00AC18C8" w:rsidP="005C2E41">
            <w:pPr>
              <w:rPr>
                <w:szCs w:val="28"/>
              </w:rPr>
            </w:pPr>
          </w:p>
        </w:tc>
        <w:tc>
          <w:tcPr>
            <w:tcW w:w="2399" w:type="dxa"/>
          </w:tcPr>
          <w:p w:rsidR="00AC18C8" w:rsidRPr="00161575" w:rsidRDefault="00AC18C8" w:rsidP="0057231E">
            <w:pPr>
              <w:ind w:left="176" w:hanging="142"/>
              <w:rPr>
                <w:szCs w:val="28"/>
              </w:rPr>
            </w:pPr>
            <w:r>
              <w:rPr>
                <w:szCs w:val="28"/>
              </w:rPr>
              <w:t xml:space="preserve">- </w:t>
            </w:r>
            <w:r w:rsidRPr="00161575">
              <w:rPr>
                <w:szCs w:val="28"/>
              </w:rPr>
              <w:t>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4679A3" w:rsidRPr="00161575" w:rsidTr="0057231E">
        <w:tc>
          <w:tcPr>
            <w:tcW w:w="2517" w:type="dxa"/>
          </w:tcPr>
          <w:p w:rsidR="004679A3" w:rsidRPr="00161575" w:rsidRDefault="004679A3" w:rsidP="00553631">
            <w:pPr>
              <w:rPr>
                <w:szCs w:val="28"/>
              </w:rPr>
            </w:pPr>
          </w:p>
        </w:tc>
        <w:tc>
          <w:tcPr>
            <w:tcW w:w="4962" w:type="dxa"/>
          </w:tcPr>
          <w:p w:rsidR="004679A3" w:rsidRPr="00161575" w:rsidRDefault="004679A3" w:rsidP="00265961">
            <w:pPr>
              <w:rPr>
                <w:szCs w:val="28"/>
              </w:rPr>
            </w:pPr>
          </w:p>
        </w:tc>
        <w:tc>
          <w:tcPr>
            <w:tcW w:w="2399" w:type="dxa"/>
          </w:tcPr>
          <w:p w:rsidR="004679A3" w:rsidRPr="00161575" w:rsidRDefault="004679A3" w:rsidP="00265961">
            <w:pPr>
              <w:ind w:left="176" w:hanging="142"/>
              <w:rPr>
                <w:szCs w:val="28"/>
              </w:rPr>
            </w:pPr>
            <w:r w:rsidRPr="00161575">
              <w:rPr>
                <w:szCs w:val="28"/>
              </w:rPr>
              <w:t>- секретар</w:t>
            </w:r>
            <w:r w:rsidR="00265961" w:rsidRPr="00161575">
              <w:rPr>
                <w:szCs w:val="28"/>
              </w:rPr>
              <w:t>ь</w:t>
            </w:r>
            <w:r w:rsidRPr="00161575">
              <w:rPr>
                <w:szCs w:val="28"/>
              </w:rPr>
              <w:t xml:space="preserve">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856B5B" w:rsidRPr="00551446" w:rsidRDefault="00551446" w:rsidP="00856B5B">
      <w:pPr>
        <w:ind w:left="720"/>
        <w:jc w:val="both"/>
        <w:rPr>
          <w:szCs w:val="28"/>
          <w:lang w:val="en-US"/>
        </w:rPr>
      </w:pPr>
      <w:r>
        <w:rPr>
          <w:lang w:val="en-US"/>
        </w:rPr>
        <w:t>….</w:t>
      </w:r>
    </w:p>
    <w:p w:rsidR="00856B5B" w:rsidRDefault="00856B5B" w:rsidP="00856B5B">
      <w:pPr>
        <w:ind w:left="720"/>
        <w:jc w:val="both"/>
      </w:pPr>
    </w:p>
    <w:p w:rsidR="00856B5B" w:rsidRDefault="00856B5B" w:rsidP="00856B5B">
      <w:pPr>
        <w:numPr>
          <w:ilvl w:val="0"/>
          <w:numId w:val="2"/>
        </w:numPr>
        <w:ind w:left="720"/>
        <w:jc w:val="both"/>
        <w:rPr>
          <w:szCs w:val="28"/>
        </w:rPr>
      </w:pPr>
      <w:r w:rsidRPr="00BA4411">
        <w:t xml:space="preserve">Принятие решения по размещению заказа на закупку товаров, выполнение работ и оказание услуг у единственного поставщика (исполнителя, подрядчика) </w:t>
      </w:r>
      <w:r>
        <w:rPr>
          <w:szCs w:val="28"/>
        </w:rPr>
        <w:t>по</w:t>
      </w:r>
      <w:r w:rsidRPr="003927D3">
        <w:rPr>
          <w:szCs w:val="28"/>
        </w:rPr>
        <w:t xml:space="preserve"> </w:t>
      </w:r>
      <w:r>
        <w:rPr>
          <w:szCs w:val="28"/>
        </w:rPr>
        <w:t>продвижению имиджа, а также поддержке целей и роли ОАО «ТрансКонтейнер» в странах Европейского Союза (ЕС) при организации контейнерных перевозок по Евразийскому железнодорожному коридору.</w:t>
      </w:r>
    </w:p>
    <w:p w:rsidR="00856B5B" w:rsidRPr="00D6335A" w:rsidRDefault="00856B5B" w:rsidP="00856B5B">
      <w:pPr>
        <w:ind w:left="360" w:firstLine="348"/>
        <w:jc w:val="both"/>
        <w:rPr>
          <w:szCs w:val="28"/>
        </w:rPr>
      </w:pPr>
      <w:r w:rsidRPr="00D6335A">
        <w:rPr>
          <w:szCs w:val="28"/>
        </w:rPr>
        <w:t xml:space="preserve">Докладчик: </w:t>
      </w:r>
      <w:proofErr w:type="spellStart"/>
      <w:r w:rsidRPr="00DC2BA5">
        <w:t>Зам</w:t>
      </w:r>
      <w:proofErr w:type="gramStart"/>
      <w:r w:rsidRPr="00DC2BA5">
        <w:t>.Ц</w:t>
      </w:r>
      <w:proofErr w:type="gramEnd"/>
      <w:r w:rsidRPr="00DC2BA5">
        <w:t>КП</w:t>
      </w:r>
      <w:proofErr w:type="spellEnd"/>
      <w:r w:rsidRPr="00DC2BA5">
        <w:rPr>
          <w:szCs w:val="28"/>
        </w:rPr>
        <w:t xml:space="preserve"> Чичагов П.К</w:t>
      </w:r>
      <w:r w:rsidRPr="00D6335A">
        <w:rPr>
          <w:szCs w:val="28"/>
        </w:rPr>
        <w:t>.</w:t>
      </w:r>
    </w:p>
    <w:p w:rsidR="00856B5B" w:rsidRPr="007902AD" w:rsidRDefault="00856B5B" w:rsidP="00856B5B">
      <w:pPr>
        <w:ind w:left="720"/>
        <w:jc w:val="both"/>
      </w:pPr>
      <w:r w:rsidRPr="00D54E59">
        <w:rPr>
          <w:szCs w:val="28"/>
        </w:rPr>
        <w:t xml:space="preserve">Заявка в </w:t>
      </w:r>
      <w:r w:rsidRPr="00BA4411">
        <w:t xml:space="preserve">АСБК: </w:t>
      </w:r>
      <w:r>
        <w:t>T10044786, T10044787, T1004788, T10044789</w:t>
      </w:r>
    </w:p>
    <w:p w:rsidR="006C0FDD" w:rsidRPr="007902AD" w:rsidRDefault="006C0FDD" w:rsidP="00856B5B">
      <w:pPr>
        <w:ind w:left="720"/>
        <w:jc w:val="both"/>
      </w:pPr>
    </w:p>
    <w:p w:rsidR="006C0FDD" w:rsidRPr="00D275F8" w:rsidRDefault="00D275F8" w:rsidP="00D275F8">
      <w:pPr>
        <w:ind w:left="1002"/>
        <w:jc w:val="both"/>
        <w:rPr>
          <w:szCs w:val="28"/>
        </w:rPr>
      </w:pPr>
      <w:r w:rsidRPr="00D275F8">
        <w:rPr>
          <w:szCs w:val="28"/>
          <w:lang w:val="en-US"/>
        </w:rPr>
        <w:t>….</w:t>
      </w:r>
    </w:p>
    <w:p w:rsidR="008D36E3" w:rsidRDefault="008D36E3" w:rsidP="00D92CF1">
      <w:pPr>
        <w:pStyle w:val="ad"/>
        <w:ind w:left="709"/>
        <w:jc w:val="both"/>
        <w:rPr>
          <w:b/>
          <w:szCs w:val="28"/>
        </w:rPr>
      </w:pPr>
    </w:p>
    <w:p w:rsidR="006C0FDD" w:rsidRDefault="006C0FDD" w:rsidP="006C0FDD">
      <w:pPr>
        <w:pStyle w:val="ad"/>
        <w:ind w:left="709"/>
        <w:jc w:val="both"/>
        <w:rPr>
          <w:b/>
          <w:szCs w:val="28"/>
        </w:rPr>
      </w:pPr>
      <w:r w:rsidRPr="004679A3">
        <w:rPr>
          <w:b/>
          <w:szCs w:val="28"/>
        </w:rPr>
        <w:t xml:space="preserve">По пункту </w:t>
      </w:r>
      <w:r w:rsidRPr="004679A3">
        <w:rPr>
          <w:b/>
          <w:szCs w:val="28"/>
          <w:lang w:val="en-US"/>
        </w:rPr>
        <w:t>I</w:t>
      </w:r>
      <w:r>
        <w:rPr>
          <w:b/>
          <w:szCs w:val="28"/>
          <w:lang w:val="en-US"/>
        </w:rPr>
        <w:t>V</w:t>
      </w:r>
      <w:r w:rsidRPr="004679A3">
        <w:rPr>
          <w:b/>
          <w:szCs w:val="28"/>
        </w:rPr>
        <w:t xml:space="preserve"> повестки дня заседания</w:t>
      </w:r>
      <w:r>
        <w:rPr>
          <w:b/>
          <w:szCs w:val="28"/>
        </w:rPr>
        <w:t xml:space="preserve">: </w:t>
      </w:r>
    </w:p>
    <w:p w:rsidR="006E08D9" w:rsidRPr="007902AD" w:rsidRDefault="006E08D9" w:rsidP="006E08D9">
      <w:pPr>
        <w:numPr>
          <w:ilvl w:val="0"/>
          <w:numId w:val="17"/>
        </w:numPr>
        <w:shd w:val="clear" w:color="auto" w:fill="FFFFFF"/>
        <w:spacing w:line="245" w:lineRule="auto"/>
        <w:ind w:left="0" w:firstLine="709"/>
        <w:jc w:val="both"/>
        <w:rPr>
          <w:snapToGrid w:val="0"/>
          <w:szCs w:val="28"/>
        </w:rPr>
      </w:pPr>
      <w:r w:rsidRPr="00922174">
        <w:rPr>
          <w:szCs w:val="28"/>
        </w:rPr>
        <w:t xml:space="preserve">В соответствии с подпунктом </w:t>
      </w:r>
      <w:r w:rsidRPr="007902AD">
        <w:rPr>
          <w:szCs w:val="28"/>
        </w:rPr>
        <w:t>3</w:t>
      </w:r>
      <w:r w:rsidRPr="00922174">
        <w:rPr>
          <w:szCs w:val="28"/>
        </w:rPr>
        <w:t xml:space="preserve"> пункта 318 Положения о закупках принято </w:t>
      </w:r>
      <w:proofErr w:type="gramStart"/>
      <w:r w:rsidRPr="00922174">
        <w:rPr>
          <w:szCs w:val="28"/>
        </w:rPr>
        <w:t>решение</w:t>
      </w:r>
      <w:proofErr w:type="gramEnd"/>
      <w:r w:rsidRPr="00922174">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Pr>
          <w:szCs w:val="28"/>
        </w:rPr>
        <w:t xml:space="preserve">                </w:t>
      </w:r>
      <w:r>
        <w:rPr>
          <w:noProof/>
          <w:szCs w:val="28"/>
          <w:lang w:val="az-Cyrl-AZ"/>
        </w:rPr>
        <w:t xml:space="preserve">«FIPRA </w:t>
      </w:r>
      <w:r>
        <w:rPr>
          <w:noProof/>
          <w:szCs w:val="28"/>
          <w:lang w:val="en-US"/>
        </w:rPr>
        <w:t>International</w:t>
      </w:r>
      <w:r>
        <w:rPr>
          <w:noProof/>
          <w:szCs w:val="28"/>
          <w:lang w:val="az-Cyrl-AZ"/>
        </w:rPr>
        <w:t xml:space="preserve"> </w:t>
      </w:r>
      <w:r>
        <w:rPr>
          <w:noProof/>
          <w:szCs w:val="28"/>
          <w:lang w:val="en-US"/>
        </w:rPr>
        <w:t>Limited</w:t>
      </w:r>
      <w:r>
        <w:rPr>
          <w:noProof/>
          <w:szCs w:val="28"/>
          <w:lang w:val="az-Cyrl-AZ"/>
        </w:rPr>
        <w:t>»</w:t>
      </w:r>
      <w:r w:rsidRPr="007902AD">
        <w:rPr>
          <w:noProof/>
          <w:szCs w:val="28"/>
        </w:rPr>
        <w:t xml:space="preserve"> </w:t>
      </w:r>
      <w:r w:rsidRPr="00922174">
        <w:rPr>
          <w:szCs w:val="28"/>
        </w:rPr>
        <w:t>на следующих условиях:</w:t>
      </w:r>
    </w:p>
    <w:p w:rsidR="00413E5C" w:rsidRPr="00413E5C" w:rsidRDefault="00413E5C" w:rsidP="00413E5C">
      <w:pPr>
        <w:tabs>
          <w:tab w:val="left" w:pos="709"/>
        </w:tabs>
        <w:snapToGrid w:val="0"/>
        <w:jc w:val="both"/>
        <w:rPr>
          <w:snapToGrid w:val="0"/>
          <w:szCs w:val="28"/>
        </w:rPr>
      </w:pPr>
      <w:r>
        <w:rPr>
          <w:b/>
          <w:snapToGrid w:val="0"/>
        </w:rPr>
        <w:tab/>
      </w:r>
      <w:r w:rsidRPr="00413E5C">
        <w:rPr>
          <w:b/>
          <w:snapToGrid w:val="0"/>
        </w:rPr>
        <w:t xml:space="preserve">Предмет Заказа: </w:t>
      </w:r>
      <w:r>
        <w:rPr>
          <w:b/>
          <w:snapToGrid w:val="0"/>
        </w:rPr>
        <w:t>о</w:t>
      </w:r>
      <w:r w:rsidRPr="00413E5C">
        <w:rPr>
          <w:snapToGrid w:val="0"/>
          <w:szCs w:val="28"/>
        </w:rPr>
        <w:t>казани</w:t>
      </w:r>
      <w:r>
        <w:rPr>
          <w:snapToGrid w:val="0"/>
          <w:szCs w:val="28"/>
        </w:rPr>
        <w:t>е</w:t>
      </w:r>
      <w:r w:rsidRPr="00413E5C">
        <w:rPr>
          <w:snapToGrid w:val="0"/>
          <w:szCs w:val="28"/>
        </w:rPr>
        <w:t xml:space="preserve"> услуг по продвижению имиджа, а также поддержке целей и роли ОАО «ТрансКонтейнер» в странах Европейского Союза (ЕС) при организации контейнерных перевозок по Евразийскому железнодорожному коридору, в том числе: </w:t>
      </w:r>
    </w:p>
    <w:p w:rsidR="00413E5C" w:rsidRPr="00413E5C" w:rsidRDefault="00413E5C" w:rsidP="00413E5C">
      <w:pPr>
        <w:numPr>
          <w:ilvl w:val="0"/>
          <w:numId w:val="18"/>
        </w:numPr>
        <w:tabs>
          <w:tab w:val="left" w:pos="709"/>
        </w:tabs>
        <w:snapToGrid w:val="0"/>
        <w:jc w:val="both"/>
        <w:rPr>
          <w:snapToGrid w:val="0"/>
          <w:szCs w:val="28"/>
        </w:rPr>
      </w:pPr>
      <w:r w:rsidRPr="00413E5C">
        <w:rPr>
          <w:snapToGrid w:val="0"/>
          <w:szCs w:val="28"/>
        </w:rPr>
        <w:lastRenderedPageBreak/>
        <w:t xml:space="preserve">отслеживание и информирование ОАО «ТрансКонтейнер» о материалах в средствах массовой информации Европы и Брюсселя, освещающих деятельность ОАО «ТрансКонтейнер» и ОАО «РЖД», работу профильных </w:t>
      </w:r>
      <w:proofErr w:type="gramStart"/>
      <w:r w:rsidRPr="00413E5C">
        <w:rPr>
          <w:snapToGrid w:val="0"/>
          <w:szCs w:val="28"/>
        </w:rPr>
        <w:t>бизнес-форумов</w:t>
      </w:r>
      <w:proofErr w:type="gramEnd"/>
      <w:r w:rsidRPr="00413E5C">
        <w:rPr>
          <w:snapToGrid w:val="0"/>
          <w:szCs w:val="28"/>
        </w:rPr>
        <w:t>, европейские выборы, а также назначения в европейских институтах власти;</w:t>
      </w:r>
    </w:p>
    <w:p w:rsidR="00413E5C" w:rsidRPr="00413E5C" w:rsidRDefault="00413E5C" w:rsidP="00413E5C">
      <w:pPr>
        <w:numPr>
          <w:ilvl w:val="0"/>
          <w:numId w:val="18"/>
        </w:numPr>
        <w:tabs>
          <w:tab w:val="left" w:pos="709"/>
        </w:tabs>
        <w:snapToGrid w:val="0"/>
        <w:jc w:val="both"/>
        <w:rPr>
          <w:snapToGrid w:val="0"/>
          <w:szCs w:val="28"/>
        </w:rPr>
      </w:pPr>
      <w:r w:rsidRPr="00413E5C">
        <w:rPr>
          <w:snapToGrid w:val="0"/>
          <w:szCs w:val="28"/>
        </w:rPr>
        <w:t xml:space="preserve">организация регулярных встреч по вопросам Проекта 1520 с высокопоставленными должностными лицами Парламента ЕС в рамках европейских железнодорожных </w:t>
      </w:r>
      <w:proofErr w:type="gramStart"/>
      <w:r w:rsidRPr="00413E5C">
        <w:rPr>
          <w:snapToGrid w:val="0"/>
          <w:szCs w:val="28"/>
        </w:rPr>
        <w:t>бизнес-форумов</w:t>
      </w:r>
      <w:proofErr w:type="gramEnd"/>
      <w:r w:rsidRPr="00413E5C">
        <w:rPr>
          <w:snapToGrid w:val="0"/>
          <w:szCs w:val="28"/>
        </w:rPr>
        <w:t>;</w:t>
      </w:r>
    </w:p>
    <w:p w:rsidR="00413E5C" w:rsidRPr="00413E5C" w:rsidRDefault="00413E5C" w:rsidP="00413E5C">
      <w:pPr>
        <w:keepNext/>
        <w:widowControl w:val="0"/>
        <w:numPr>
          <w:ilvl w:val="0"/>
          <w:numId w:val="18"/>
        </w:numPr>
        <w:tabs>
          <w:tab w:val="left" w:pos="709"/>
        </w:tabs>
        <w:snapToGrid w:val="0"/>
        <w:contextualSpacing/>
        <w:jc w:val="both"/>
        <w:outlineLvl w:val="0"/>
        <w:rPr>
          <w:rFonts w:eastAsiaTheme="minorHAnsi"/>
          <w:szCs w:val="28"/>
          <w:lang w:eastAsia="en-US"/>
        </w:rPr>
      </w:pPr>
      <w:r w:rsidRPr="00413E5C">
        <w:rPr>
          <w:rFonts w:eastAsiaTheme="minorHAnsi"/>
          <w:szCs w:val="28"/>
          <w:lang w:eastAsia="en-US"/>
        </w:rPr>
        <w:t xml:space="preserve">организация участия официальных лиц Еврокомиссии в работе международного </w:t>
      </w:r>
      <w:proofErr w:type="gramStart"/>
      <w:r w:rsidRPr="00413E5C">
        <w:rPr>
          <w:rFonts w:eastAsiaTheme="minorHAnsi"/>
          <w:szCs w:val="28"/>
          <w:lang w:eastAsia="en-US"/>
        </w:rPr>
        <w:t>бизнес-форума</w:t>
      </w:r>
      <w:proofErr w:type="gramEnd"/>
      <w:r w:rsidRPr="00413E5C">
        <w:rPr>
          <w:rFonts w:eastAsiaTheme="minorHAnsi"/>
          <w:szCs w:val="28"/>
          <w:lang w:eastAsia="en-US"/>
        </w:rPr>
        <w:t xml:space="preserve"> «Стратегическое партнерство 1520» </w:t>
      </w:r>
      <w:r w:rsidRPr="00413E5C">
        <w:rPr>
          <w:rFonts w:eastAsiaTheme="minorHAnsi"/>
          <w:szCs w:val="28"/>
          <w:lang w:eastAsia="en-US"/>
        </w:rPr>
        <w:br/>
        <w:t>(г. Сочи);</w:t>
      </w:r>
    </w:p>
    <w:p w:rsidR="00413E5C" w:rsidRPr="00413E5C" w:rsidRDefault="00413E5C" w:rsidP="00413E5C">
      <w:pPr>
        <w:numPr>
          <w:ilvl w:val="0"/>
          <w:numId w:val="18"/>
        </w:numPr>
        <w:tabs>
          <w:tab w:val="left" w:pos="709"/>
        </w:tabs>
        <w:snapToGrid w:val="0"/>
        <w:jc w:val="both"/>
        <w:rPr>
          <w:snapToGrid w:val="0"/>
          <w:szCs w:val="28"/>
        </w:rPr>
      </w:pPr>
      <w:r w:rsidRPr="00413E5C">
        <w:rPr>
          <w:snapToGrid w:val="0"/>
          <w:szCs w:val="28"/>
        </w:rPr>
        <w:t xml:space="preserve">установление и поддержание деловых контактов с Сообществом железных дорог Европы, обеспечение регулярных контактов по вопросам Проекта 1520 с учреждениями Евросоюза, посещение профессиональных мероприятий и официальных заседаний в органах управления ЕС; </w:t>
      </w:r>
    </w:p>
    <w:p w:rsidR="00413E5C" w:rsidRPr="00413E5C" w:rsidRDefault="00413E5C" w:rsidP="00413E5C">
      <w:pPr>
        <w:numPr>
          <w:ilvl w:val="0"/>
          <w:numId w:val="18"/>
        </w:numPr>
        <w:tabs>
          <w:tab w:val="left" w:pos="709"/>
        </w:tabs>
        <w:snapToGrid w:val="0"/>
        <w:jc w:val="both"/>
        <w:rPr>
          <w:snapToGrid w:val="0"/>
          <w:szCs w:val="28"/>
        </w:rPr>
      </w:pPr>
      <w:r w:rsidRPr="00413E5C">
        <w:rPr>
          <w:snapToGrid w:val="0"/>
          <w:szCs w:val="28"/>
        </w:rPr>
        <w:t>привлечение ведущих европейских экспертов в области логистики для проведения презентаций по Проекту 1520 в органах управления ЕС;</w:t>
      </w:r>
    </w:p>
    <w:p w:rsidR="00413E5C" w:rsidRPr="00413E5C" w:rsidRDefault="00413E5C" w:rsidP="00413E5C">
      <w:pPr>
        <w:numPr>
          <w:ilvl w:val="0"/>
          <w:numId w:val="18"/>
        </w:numPr>
        <w:tabs>
          <w:tab w:val="left" w:pos="709"/>
        </w:tabs>
        <w:snapToGrid w:val="0"/>
        <w:spacing w:after="200"/>
        <w:contextualSpacing/>
        <w:jc w:val="both"/>
        <w:rPr>
          <w:rFonts w:eastAsiaTheme="minorHAnsi"/>
          <w:szCs w:val="28"/>
          <w:lang w:eastAsia="en-US"/>
        </w:rPr>
      </w:pPr>
      <w:r w:rsidRPr="00413E5C">
        <w:rPr>
          <w:rFonts w:eastAsiaTheme="minorHAnsi"/>
          <w:szCs w:val="28"/>
          <w:lang w:eastAsia="en-US"/>
        </w:rPr>
        <w:t>осуществление регулярных контактов с европейскими институтами в Брюсселе в качестве представителей ОАО «ТрансКонтейнер»;</w:t>
      </w:r>
    </w:p>
    <w:p w:rsidR="00413E5C" w:rsidRPr="00413E5C" w:rsidRDefault="00413E5C" w:rsidP="00413E5C">
      <w:pPr>
        <w:numPr>
          <w:ilvl w:val="0"/>
          <w:numId w:val="18"/>
        </w:numPr>
        <w:tabs>
          <w:tab w:val="left" w:pos="709"/>
        </w:tabs>
        <w:snapToGrid w:val="0"/>
        <w:spacing w:after="200"/>
        <w:contextualSpacing/>
        <w:jc w:val="both"/>
        <w:rPr>
          <w:rFonts w:eastAsiaTheme="minorHAnsi"/>
          <w:szCs w:val="28"/>
          <w:lang w:eastAsia="en-US"/>
        </w:rPr>
      </w:pPr>
      <w:r w:rsidRPr="00413E5C">
        <w:rPr>
          <w:rFonts w:eastAsiaTheme="minorHAnsi"/>
          <w:szCs w:val="28"/>
          <w:lang w:eastAsia="en-US"/>
        </w:rPr>
        <w:t>осуществление сбора и анализа информации, о проектах, являющихся частью Трансъевропейской транспортной сети и европейских грузовых коридоров;</w:t>
      </w:r>
    </w:p>
    <w:p w:rsidR="00413E5C" w:rsidRPr="00413E5C" w:rsidRDefault="00413E5C" w:rsidP="00413E5C">
      <w:pPr>
        <w:numPr>
          <w:ilvl w:val="0"/>
          <w:numId w:val="18"/>
        </w:numPr>
        <w:tabs>
          <w:tab w:val="left" w:pos="709"/>
        </w:tabs>
        <w:snapToGrid w:val="0"/>
        <w:spacing w:after="200"/>
        <w:contextualSpacing/>
        <w:jc w:val="both"/>
        <w:rPr>
          <w:rFonts w:eastAsiaTheme="minorHAnsi"/>
          <w:szCs w:val="28"/>
          <w:lang w:eastAsia="en-US"/>
        </w:rPr>
      </w:pPr>
      <w:r w:rsidRPr="00413E5C">
        <w:rPr>
          <w:rFonts w:eastAsiaTheme="minorHAnsi"/>
          <w:szCs w:val="28"/>
          <w:lang w:eastAsia="en-US"/>
        </w:rPr>
        <w:t>организация встреч представителей ОАО «ТрансКонтейнер» с представителями государственной власти, профсоюзов, журналистами, объединениями промышленников и предпринимателей, представителями торговых палат, аппаратов министерств и ведомств Австрии и Словакии;</w:t>
      </w:r>
    </w:p>
    <w:p w:rsidR="00413E5C" w:rsidRPr="00413E5C" w:rsidRDefault="00413E5C" w:rsidP="00413E5C">
      <w:pPr>
        <w:numPr>
          <w:ilvl w:val="0"/>
          <w:numId w:val="18"/>
        </w:numPr>
        <w:tabs>
          <w:tab w:val="left" w:pos="709"/>
        </w:tabs>
        <w:snapToGrid w:val="0"/>
        <w:spacing w:after="200"/>
        <w:contextualSpacing/>
        <w:jc w:val="both"/>
        <w:rPr>
          <w:rFonts w:eastAsiaTheme="minorHAnsi"/>
          <w:szCs w:val="28"/>
          <w:lang w:eastAsia="en-US"/>
        </w:rPr>
      </w:pPr>
      <w:r w:rsidRPr="00413E5C">
        <w:rPr>
          <w:rFonts w:eastAsiaTheme="minorHAnsi"/>
          <w:szCs w:val="28"/>
          <w:lang w:eastAsia="en-US"/>
        </w:rPr>
        <w:t>проведение мероприятий, направленных на укрепление заинтересованности в Проекте 1520 в Брюсселе, Словакии, Австрии и Украине включая:</w:t>
      </w:r>
    </w:p>
    <w:p w:rsidR="00413E5C" w:rsidRPr="00413E5C" w:rsidRDefault="00413E5C" w:rsidP="00413E5C">
      <w:pPr>
        <w:numPr>
          <w:ilvl w:val="0"/>
          <w:numId w:val="19"/>
        </w:numPr>
        <w:tabs>
          <w:tab w:val="left" w:pos="709"/>
        </w:tabs>
        <w:snapToGrid w:val="0"/>
        <w:ind w:left="851"/>
        <w:jc w:val="both"/>
        <w:rPr>
          <w:snapToGrid w:val="0"/>
          <w:szCs w:val="28"/>
        </w:rPr>
      </w:pPr>
      <w:r w:rsidRPr="00413E5C">
        <w:rPr>
          <w:snapToGrid w:val="0"/>
          <w:szCs w:val="28"/>
        </w:rPr>
        <w:t>организацию переговоров с руководителями федеральных провинций, семинаров с местными компаниями, интервью с представителями СМИ;</w:t>
      </w:r>
    </w:p>
    <w:p w:rsidR="00413E5C" w:rsidRPr="00413E5C" w:rsidRDefault="00413E5C" w:rsidP="00413E5C">
      <w:pPr>
        <w:numPr>
          <w:ilvl w:val="0"/>
          <w:numId w:val="19"/>
        </w:numPr>
        <w:tabs>
          <w:tab w:val="left" w:pos="709"/>
        </w:tabs>
        <w:snapToGrid w:val="0"/>
        <w:ind w:left="851"/>
        <w:jc w:val="both"/>
        <w:rPr>
          <w:snapToGrid w:val="0"/>
          <w:szCs w:val="28"/>
        </w:rPr>
      </w:pPr>
      <w:r w:rsidRPr="00413E5C">
        <w:rPr>
          <w:snapToGrid w:val="0"/>
          <w:szCs w:val="28"/>
        </w:rPr>
        <w:t>мониторинг изменений в составе правительств и назначений руководителей министерств и железнодорожных компаний, информирование о Проекте 1520 вновь назначенных должностных лиц.</w:t>
      </w:r>
    </w:p>
    <w:p w:rsidR="00413E5C" w:rsidRPr="00413E5C" w:rsidRDefault="00413E5C" w:rsidP="00413E5C">
      <w:pPr>
        <w:numPr>
          <w:ilvl w:val="0"/>
          <w:numId w:val="19"/>
        </w:numPr>
        <w:tabs>
          <w:tab w:val="left" w:pos="709"/>
        </w:tabs>
        <w:snapToGrid w:val="0"/>
        <w:ind w:left="851"/>
        <w:jc w:val="both"/>
        <w:rPr>
          <w:snapToGrid w:val="0"/>
          <w:szCs w:val="28"/>
        </w:rPr>
      </w:pPr>
      <w:r w:rsidRPr="00413E5C">
        <w:rPr>
          <w:snapToGrid w:val="0"/>
          <w:szCs w:val="28"/>
        </w:rPr>
        <w:t xml:space="preserve">осуществление программы связей (далее – Программа) с представителями целевых аудиторий, в том числе организациями: «Европейские железнодорожные предприятия», «Деловая Европа», «Партнерство 1520», </w:t>
      </w:r>
      <w:proofErr w:type="gramStart"/>
      <w:r w:rsidRPr="00413E5C">
        <w:rPr>
          <w:snapToGrid w:val="0"/>
          <w:szCs w:val="28"/>
        </w:rPr>
        <w:t>направленных</w:t>
      </w:r>
      <w:proofErr w:type="gramEnd"/>
      <w:r w:rsidRPr="00413E5C">
        <w:rPr>
          <w:snapToGrid w:val="0"/>
          <w:szCs w:val="28"/>
        </w:rPr>
        <w:t xml:space="preserve"> на обеспечение деловой, государственной и общественной поддержки Проекта.</w:t>
      </w:r>
    </w:p>
    <w:p w:rsidR="00413E5C" w:rsidRPr="00413E5C" w:rsidRDefault="00413E5C" w:rsidP="00413E5C">
      <w:pPr>
        <w:numPr>
          <w:ilvl w:val="1"/>
          <w:numId w:val="19"/>
        </w:numPr>
        <w:tabs>
          <w:tab w:val="left" w:pos="709"/>
        </w:tabs>
        <w:snapToGrid w:val="0"/>
        <w:spacing w:after="200" w:line="276" w:lineRule="auto"/>
        <w:contextualSpacing/>
        <w:jc w:val="both"/>
        <w:rPr>
          <w:rFonts w:eastAsiaTheme="minorHAnsi"/>
          <w:szCs w:val="28"/>
          <w:lang w:eastAsia="en-US"/>
        </w:rPr>
      </w:pPr>
      <w:r w:rsidRPr="00413E5C">
        <w:rPr>
          <w:rFonts w:eastAsiaTheme="minorHAnsi"/>
          <w:szCs w:val="28"/>
          <w:lang w:eastAsia="en-US"/>
        </w:rPr>
        <w:t>Программа будет осуществляться преимущественно в Бельгии, Австрии и соответствующих институтах ЕС при координации и мониторинге в других юрисдикциях;</w:t>
      </w:r>
    </w:p>
    <w:p w:rsidR="00413E5C" w:rsidRPr="00413E5C" w:rsidRDefault="00413E5C" w:rsidP="00413E5C">
      <w:pPr>
        <w:numPr>
          <w:ilvl w:val="1"/>
          <w:numId w:val="19"/>
        </w:numPr>
        <w:tabs>
          <w:tab w:val="left" w:pos="709"/>
        </w:tabs>
        <w:snapToGrid w:val="0"/>
        <w:spacing w:after="200" w:line="276" w:lineRule="auto"/>
        <w:contextualSpacing/>
        <w:jc w:val="both"/>
        <w:rPr>
          <w:rFonts w:eastAsiaTheme="minorHAnsi"/>
          <w:szCs w:val="28"/>
          <w:lang w:eastAsia="en-US"/>
        </w:rPr>
      </w:pPr>
      <w:r w:rsidRPr="00413E5C">
        <w:rPr>
          <w:rFonts w:eastAsiaTheme="minorHAnsi"/>
          <w:szCs w:val="28"/>
          <w:lang w:eastAsia="en-US"/>
        </w:rPr>
        <w:t>Оказание иных консультационных услуг по запросу Заказчика, которые оформляются отдельными дополнительными соглашениями к Договору.</w:t>
      </w:r>
      <w:r w:rsidRPr="00413E5C">
        <w:rPr>
          <w:rFonts w:eastAsiaTheme="minorHAnsi"/>
          <w:i/>
          <w:szCs w:val="28"/>
          <w:lang w:eastAsia="en-US"/>
        </w:rPr>
        <w:t xml:space="preserve"> </w:t>
      </w:r>
    </w:p>
    <w:p w:rsidR="00413E5C" w:rsidRPr="00CA64AB" w:rsidRDefault="00413E5C" w:rsidP="00413E5C">
      <w:pPr>
        <w:widowControl w:val="0"/>
        <w:tabs>
          <w:tab w:val="left" w:pos="709"/>
        </w:tabs>
        <w:ind w:firstLine="709"/>
        <w:jc w:val="both"/>
        <w:rPr>
          <w:b/>
          <w:bCs/>
          <w:snapToGrid w:val="0"/>
          <w:szCs w:val="28"/>
        </w:rPr>
      </w:pPr>
      <w:r w:rsidRPr="00204FAC">
        <w:rPr>
          <w:b/>
          <w:snapToGrid w:val="0"/>
        </w:rPr>
        <w:t xml:space="preserve">Количество (Объем): </w:t>
      </w:r>
      <w:r w:rsidRPr="00204FAC">
        <w:rPr>
          <w:snapToGrid w:val="0"/>
          <w:szCs w:val="28"/>
        </w:rPr>
        <w:t>определяется на основании</w:t>
      </w:r>
      <w:r w:rsidRPr="00204FAC">
        <w:rPr>
          <w:b/>
          <w:snapToGrid w:val="0"/>
          <w:szCs w:val="28"/>
        </w:rPr>
        <w:t xml:space="preserve"> </w:t>
      </w:r>
      <w:r w:rsidRPr="00204FAC">
        <w:rPr>
          <w:noProof/>
          <w:snapToGrid w:val="0"/>
          <w:szCs w:val="28"/>
        </w:rPr>
        <w:t xml:space="preserve">информации, содержащейся в отчетах об оказанных Услугах, которые Исполнитель </w:t>
      </w:r>
      <w:r w:rsidRPr="00CA64AB">
        <w:rPr>
          <w:noProof/>
          <w:snapToGrid w:val="0"/>
          <w:szCs w:val="28"/>
        </w:rPr>
        <w:t xml:space="preserve">ежемесячно представляет для утверждения </w:t>
      </w:r>
      <w:r w:rsidRPr="00CA64AB">
        <w:rPr>
          <w:snapToGrid w:val="0"/>
          <w:szCs w:val="28"/>
        </w:rPr>
        <w:t>Заказчиком.</w:t>
      </w:r>
    </w:p>
    <w:p w:rsidR="00413E5C" w:rsidRPr="00CA64AB" w:rsidRDefault="00413E5C" w:rsidP="00413E5C">
      <w:pPr>
        <w:tabs>
          <w:tab w:val="left" w:pos="709"/>
        </w:tabs>
        <w:ind w:firstLine="709"/>
        <w:jc w:val="both"/>
        <w:rPr>
          <w:snapToGrid w:val="0"/>
          <w:szCs w:val="28"/>
        </w:rPr>
      </w:pPr>
      <w:r w:rsidRPr="00CA64AB">
        <w:rPr>
          <w:b/>
          <w:snapToGrid w:val="0"/>
        </w:rPr>
        <w:lastRenderedPageBreak/>
        <w:t xml:space="preserve">Цена договора: </w:t>
      </w:r>
      <w:r w:rsidRPr="00CA64AB">
        <w:rPr>
          <w:snapToGrid w:val="0"/>
        </w:rPr>
        <w:t>1 116 000 евро</w:t>
      </w:r>
      <w:r w:rsidRPr="00CA64AB">
        <w:rPr>
          <w:b/>
          <w:snapToGrid w:val="0"/>
        </w:rPr>
        <w:t xml:space="preserve"> (</w:t>
      </w:r>
      <w:r w:rsidRPr="00CA64AB">
        <w:rPr>
          <w:snapToGrid w:val="0"/>
        </w:rPr>
        <w:t xml:space="preserve">372 000 евро в год) </w:t>
      </w:r>
      <w:r w:rsidRPr="00CA64AB">
        <w:rPr>
          <w:snapToGrid w:val="0"/>
          <w:szCs w:val="28"/>
        </w:rPr>
        <w:t xml:space="preserve">без учета  </w:t>
      </w:r>
      <w:r w:rsidRPr="00CA64AB">
        <w:rPr>
          <w:snapToGrid w:val="0"/>
          <w:szCs w:val="28"/>
        </w:rPr>
        <w:br/>
      </w:r>
      <w:r w:rsidRPr="00CA64AB">
        <w:rPr>
          <w:noProof/>
          <w:snapToGrid w:val="0"/>
          <w:szCs w:val="28"/>
        </w:rPr>
        <w:t>НДС, который уплачивае</w:t>
      </w:r>
      <w:r w:rsidRPr="00CA64AB">
        <w:rPr>
          <w:snapToGrid w:val="0"/>
          <w:szCs w:val="28"/>
        </w:rPr>
        <w:t>тся</w:t>
      </w:r>
      <w:r w:rsidRPr="00CA64AB">
        <w:rPr>
          <w:noProof/>
          <w:snapToGrid w:val="0"/>
          <w:szCs w:val="28"/>
        </w:rPr>
        <w:t xml:space="preserve"> в соответствии с законодательством Российской Федерации по ставке 18% отдельно. Обязанность по исчислению и уплате НДС возлагается на Заказчика, который является налоговым агентом в соответствии со ст.</w:t>
      </w:r>
      <w:r w:rsidRPr="00CA64AB">
        <w:rPr>
          <w:snapToGrid w:val="0"/>
          <w:szCs w:val="28"/>
        </w:rPr>
        <w:t xml:space="preserve"> </w:t>
      </w:r>
      <w:r w:rsidRPr="00CA64AB">
        <w:rPr>
          <w:noProof/>
          <w:snapToGrid w:val="0"/>
          <w:szCs w:val="28"/>
        </w:rPr>
        <w:t>161 Налогового кодекса Российской Федерации.</w:t>
      </w:r>
    </w:p>
    <w:p w:rsidR="00413E5C" w:rsidRPr="00CA64AB" w:rsidRDefault="00413E5C" w:rsidP="00413E5C">
      <w:pPr>
        <w:autoSpaceDE w:val="0"/>
        <w:autoSpaceDN w:val="0"/>
        <w:adjustRightInd w:val="0"/>
        <w:ind w:firstLine="708"/>
        <w:jc w:val="both"/>
        <w:rPr>
          <w:i/>
          <w:iCs/>
          <w:sz w:val="24"/>
          <w:szCs w:val="28"/>
          <w:lang w:eastAsia="en-US"/>
        </w:rPr>
      </w:pPr>
      <w:r w:rsidRPr="00CA64AB">
        <w:rPr>
          <w:b/>
          <w:iCs/>
          <w:szCs w:val="28"/>
          <w:lang w:eastAsia="en-US"/>
        </w:rPr>
        <w:t>Порядок определения цены за</w:t>
      </w:r>
      <w:r w:rsidRPr="00CA64AB">
        <w:rPr>
          <w:iCs/>
          <w:szCs w:val="28"/>
          <w:lang w:eastAsia="en-US"/>
        </w:rPr>
        <w:t xml:space="preserve"> </w:t>
      </w:r>
      <w:r w:rsidRPr="00CA64AB">
        <w:rPr>
          <w:b/>
          <w:iCs/>
          <w:szCs w:val="28"/>
          <w:lang w:eastAsia="en-US"/>
        </w:rPr>
        <w:t xml:space="preserve">услуги: </w:t>
      </w:r>
      <w:r w:rsidRPr="00CA64AB">
        <w:rPr>
          <w:iCs/>
          <w:szCs w:val="28"/>
          <w:lang w:eastAsia="en-US"/>
        </w:rPr>
        <w:t xml:space="preserve"> цена за профессиональные услуги  определяется на основании коммерческого предложения Исполнителя, содержащего детализацию по количеству задействованных в проекте работников, их должностей и почасовых ставок.</w:t>
      </w:r>
    </w:p>
    <w:p w:rsidR="00413E5C" w:rsidRPr="00CA64AB" w:rsidRDefault="00413E5C" w:rsidP="00413E5C">
      <w:pPr>
        <w:widowControl w:val="0"/>
        <w:tabs>
          <w:tab w:val="left" w:pos="709"/>
        </w:tabs>
        <w:ind w:firstLine="709"/>
        <w:jc w:val="both"/>
        <w:rPr>
          <w:b/>
          <w:iCs/>
          <w:snapToGrid w:val="0"/>
          <w:szCs w:val="28"/>
        </w:rPr>
      </w:pPr>
      <w:r w:rsidRPr="00CA64AB">
        <w:rPr>
          <w:b/>
          <w:iCs/>
          <w:snapToGrid w:val="0"/>
          <w:szCs w:val="28"/>
        </w:rPr>
        <w:t xml:space="preserve">Форма, сроки и порядок оплаты: </w:t>
      </w:r>
      <w:r w:rsidRPr="00CA64AB">
        <w:rPr>
          <w:snapToGrid w:val="0"/>
          <w:szCs w:val="28"/>
        </w:rPr>
        <w:t xml:space="preserve">платежи  </w:t>
      </w:r>
      <w:r w:rsidR="00CA64AB" w:rsidRPr="00CA64AB">
        <w:rPr>
          <w:snapToGrid w:val="0"/>
          <w:szCs w:val="28"/>
        </w:rPr>
        <w:t xml:space="preserve"> </w:t>
      </w:r>
      <w:r w:rsidRPr="00CA64AB">
        <w:rPr>
          <w:snapToGrid w:val="0"/>
          <w:szCs w:val="28"/>
        </w:rPr>
        <w:t>производятся на</w:t>
      </w:r>
      <w:r w:rsidRPr="00CA64AB">
        <w:rPr>
          <w:noProof/>
          <w:snapToGrid w:val="0"/>
          <w:szCs w:val="28"/>
        </w:rPr>
        <w:t xml:space="preserve"> основании выставленного </w:t>
      </w:r>
      <w:r w:rsidRPr="00CA64AB">
        <w:rPr>
          <w:snapToGrid w:val="0"/>
          <w:szCs w:val="28"/>
        </w:rPr>
        <w:t xml:space="preserve">Исполнителем </w:t>
      </w:r>
      <w:r w:rsidRPr="00CA64AB">
        <w:rPr>
          <w:noProof/>
          <w:snapToGrid w:val="0"/>
          <w:szCs w:val="28"/>
        </w:rPr>
        <w:t>счета в течение 10 (десяти) рабочих дней с даты подписания акта сдачи-приемки оказанных Услуг за отчетный месяц.</w:t>
      </w:r>
    </w:p>
    <w:p w:rsidR="00413E5C" w:rsidRPr="00CA64AB" w:rsidRDefault="00413E5C" w:rsidP="00413E5C">
      <w:pPr>
        <w:autoSpaceDE w:val="0"/>
        <w:autoSpaceDN w:val="0"/>
        <w:adjustRightInd w:val="0"/>
        <w:ind w:firstLine="708"/>
        <w:jc w:val="both"/>
        <w:rPr>
          <w:noProof/>
          <w:szCs w:val="28"/>
          <w:lang w:eastAsia="en-US"/>
        </w:rPr>
      </w:pPr>
      <w:r w:rsidRPr="00CA64AB">
        <w:rPr>
          <w:b/>
          <w:iCs/>
          <w:szCs w:val="28"/>
          <w:lang w:eastAsia="en-US"/>
        </w:rPr>
        <w:t>Срок оказания услуг:</w:t>
      </w:r>
      <w:r w:rsidRPr="00CA64AB">
        <w:rPr>
          <w:noProof/>
          <w:szCs w:val="28"/>
          <w:lang w:eastAsia="en-US"/>
        </w:rPr>
        <w:t xml:space="preserve"> с даты подписания дого</w:t>
      </w:r>
      <w:r w:rsidR="00C91845" w:rsidRPr="00CA64AB">
        <w:rPr>
          <w:noProof/>
          <w:szCs w:val="28"/>
          <w:lang w:eastAsia="en-US"/>
        </w:rPr>
        <w:t>в</w:t>
      </w:r>
      <w:r w:rsidRPr="00CA64AB">
        <w:rPr>
          <w:noProof/>
          <w:szCs w:val="28"/>
          <w:lang w:eastAsia="en-US"/>
        </w:rPr>
        <w:t xml:space="preserve">ора до 31 декабря 2016 года, в случае отсутствия уведомления о расторжении договора от одной из Сторон. </w:t>
      </w:r>
    </w:p>
    <w:p w:rsidR="00413E5C" w:rsidRPr="00413E5C" w:rsidRDefault="00413E5C" w:rsidP="00413E5C">
      <w:pPr>
        <w:autoSpaceDE w:val="0"/>
        <w:autoSpaceDN w:val="0"/>
        <w:adjustRightInd w:val="0"/>
        <w:ind w:firstLine="708"/>
        <w:jc w:val="both"/>
        <w:rPr>
          <w:b/>
          <w:iCs/>
          <w:color w:val="000000"/>
          <w:szCs w:val="28"/>
          <w:lang w:eastAsia="en-US"/>
        </w:rPr>
      </w:pPr>
      <w:r w:rsidRPr="00CA64AB">
        <w:rPr>
          <w:b/>
          <w:iCs/>
          <w:color w:val="000000"/>
          <w:szCs w:val="28"/>
          <w:lang w:eastAsia="en-US"/>
        </w:rPr>
        <w:t>Место оказания</w:t>
      </w:r>
      <w:r w:rsidRPr="00413E5C">
        <w:rPr>
          <w:b/>
          <w:iCs/>
          <w:color w:val="000000"/>
          <w:szCs w:val="28"/>
          <w:lang w:eastAsia="en-US"/>
        </w:rPr>
        <w:t xml:space="preserve"> услуг:</w:t>
      </w:r>
      <w:r w:rsidRPr="00413E5C">
        <w:rPr>
          <w:iCs/>
          <w:color w:val="000000"/>
          <w:szCs w:val="28"/>
          <w:lang w:eastAsia="en-US"/>
        </w:rPr>
        <w:t xml:space="preserve"> страны Европейского союза</w:t>
      </w:r>
      <w:r w:rsidRPr="00413E5C">
        <w:rPr>
          <w:b/>
          <w:iCs/>
          <w:color w:val="000000"/>
          <w:szCs w:val="28"/>
          <w:lang w:eastAsia="en-US"/>
        </w:rPr>
        <w:t>,</w:t>
      </w:r>
      <w:r>
        <w:rPr>
          <w:b/>
          <w:iCs/>
          <w:color w:val="000000"/>
          <w:szCs w:val="28"/>
          <w:lang w:eastAsia="en-US"/>
        </w:rPr>
        <w:t xml:space="preserve"> </w:t>
      </w:r>
      <w:r w:rsidRPr="00413E5C">
        <w:rPr>
          <w:iCs/>
          <w:color w:val="000000"/>
          <w:szCs w:val="28"/>
          <w:lang w:eastAsia="en-US"/>
        </w:rPr>
        <w:t>(место предоставления отчетов</w:t>
      </w:r>
      <w:r w:rsidRPr="00413E5C">
        <w:rPr>
          <w:i/>
          <w:iCs/>
          <w:color w:val="000000"/>
          <w:szCs w:val="28"/>
          <w:lang w:eastAsia="en-US"/>
        </w:rPr>
        <w:t>:</w:t>
      </w:r>
      <w:r w:rsidRPr="00413E5C">
        <w:rPr>
          <w:iCs/>
          <w:color w:val="000000"/>
          <w:szCs w:val="28"/>
          <w:lang w:eastAsia="en-US"/>
        </w:rPr>
        <w:t xml:space="preserve"> </w:t>
      </w:r>
      <w:r w:rsidRPr="00413E5C">
        <w:rPr>
          <w:szCs w:val="28"/>
          <w:lang w:eastAsia="en-US"/>
        </w:rPr>
        <w:t>125047, Москва, Оружейный переулок,</w:t>
      </w:r>
      <w:r w:rsidRPr="00413E5C">
        <w:rPr>
          <w:szCs w:val="28"/>
          <w:lang w:eastAsia="en-US"/>
        </w:rPr>
        <w:br/>
        <w:t xml:space="preserve"> д. 19</w:t>
      </w:r>
      <w:r w:rsidR="005A68BC" w:rsidRPr="000821ED">
        <w:rPr>
          <w:szCs w:val="28"/>
          <w:lang w:eastAsia="en-US"/>
        </w:rPr>
        <w:t>)</w:t>
      </w:r>
      <w:r w:rsidRPr="00413E5C">
        <w:rPr>
          <w:szCs w:val="28"/>
          <w:lang w:eastAsia="en-US"/>
        </w:rPr>
        <w:t>.</w:t>
      </w:r>
    </w:p>
    <w:p w:rsidR="006E08D9" w:rsidRPr="00001838" w:rsidRDefault="006E08D9" w:rsidP="006E08D9">
      <w:pPr>
        <w:pStyle w:val="ad"/>
        <w:numPr>
          <w:ilvl w:val="0"/>
          <w:numId w:val="17"/>
        </w:numPr>
        <w:shd w:val="clear" w:color="auto" w:fill="FFFFFF"/>
        <w:spacing w:line="245" w:lineRule="auto"/>
        <w:ind w:left="0" w:firstLine="709"/>
        <w:jc w:val="both"/>
        <w:rPr>
          <w:szCs w:val="28"/>
        </w:rPr>
      </w:pPr>
      <w:r w:rsidRPr="00001838">
        <w:rPr>
          <w:szCs w:val="28"/>
        </w:rPr>
        <w:t xml:space="preserve">Поручить </w:t>
      </w:r>
      <w:r w:rsidR="008D36E3">
        <w:rPr>
          <w:szCs w:val="28"/>
        </w:rPr>
        <w:t>начальнику о</w:t>
      </w:r>
      <w:r w:rsidR="008D36E3" w:rsidRPr="007902AD">
        <w:rPr>
          <w:szCs w:val="28"/>
        </w:rPr>
        <w:t>тдела развития бизнеса</w:t>
      </w:r>
      <w:r w:rsidR="008D36E3">
        <w:rPr>
          <w:rFonts w:ascii="Tahoma" w:hAnsi="Tahoma" w:cs="Tahoma"/>
          <w:b/>
          <w:bCs/>
          <w:color w:val="000050"/>
          <w:sz w:val="20"/>
        </w:rPr>
        <w:t xml:space="preserve"> </w:t>
      </w:r>
      <w:r w:rsidR="008D36E3">
        <w:rPr>
          <w:szCs w:val="28"/>
        </w:rPr>
        <w:t xml:space="preserve">(ЦКПРБ) </w:t>
      </w:r>
      <w:proofErr w:type="spellStart"/>
      <w:r w:rsidR="008D36E3">
        <w:rPr>
          <w:szCs w:val="28"/>
        </w:rPr>
        <w:t>Жевалюкову</w:t>
      </w:r>
      <w:proofErr w:type="spellEnd"/>
      <w:r w:rsidR="008D36E3">
        <w:rPr>
          <w:szCs w:val="28"/>
        </w:rPr>
        <w:t xml:space="preserve"> Э.В. </w:t>
      </w:r>
      <w:r w:rsidRPr="00001838">
        <w:rPr>
          <w:szCs w:val="28"/>
        </w:rPr>
        <w:t xml:space="preserve">обеспечить установленным порядком заключение договора с </w:t>
      </w:r>
      <w:r>
        <w:rPr>
          <w:noProof/>
          <w:szCs w:val="28"/>
          <w:lang w:val="az-Cyrl-AZ"/>
        </w:rPr>
        <w:t xml:space="preserve">«FIPRA </w:t>
      </w:r>
      <w:r>
        <w:rPr>
          <w:noProof/>
          <w:szCs w:val="28"/>
          <w:lang w:val="en-US"/>
        </w:rPr>
        <w:t>International</w:t>
      </w:r>
      <w:r>
        <w:rPr>
          <w:noProof/>
          <w:szCs w:val="28"/>
          <w:lang w:val="az-Cyrl-AZ"/>
        </w:rPr>
        <w:t xml:space="preserve"> </w:t>
      </w:r>
      <w:r>
        <w:rPr>
          <w:noProof/>
          <w:szCs w:val="28"/>
          <w:lang w:val="en-US"/>
        </w:rPr>
        <w:t>Limited</w:t>
      </w:r>
      <w:r>
        <w:rPr>
          <w:noProof/>
          <w:szCs w:val="28"/>
          <w:lang w:val="az-Cyrl-AZ"/>
        </w:rPr>
        <w:t>»</w:t>
      </w:r>
      <w:r w:rsidRPr="007902AD">
        <w:rPr>
          <w:noProof/>
          <w:szCs w:val="28"/>
        </w:rPr>
        <w:t>.</w:t>
      </w:r>
    </w:p>
    <w:p w:rsidR="000B4FCD" w:rsidRPr="007902AD" w:rsidRDefault="000B4FCD" w:rsidP="006C0FDD">
      <w:pPr>
        <w:pStyle w:val="ad"/>
        <w:ind w:left="709"/>
        <w:jc w:val="both"/>
        <w:rPr>
          <w:b/>
          <w:szCs w:val="28"/>
        </w:rPr>
      </w:pPr>
    </w:p>
    <w:p w:rsidR="00413E5C" w:rsidRDefault="00413E5C" w:rsidP="006C0FDD">
      <w:pPr>
        <w:pStyle w:val="ad"/>
        <w:ind w:left="709"/>
        <w:jc w:val="both"/>
        <w:rPr>
          <w:b/>
          <w:szCs w:val="28"/>
        </w:rPr>
      </w:pPr>
    </w:p>
    <w:p w:rsidR="00413E5C" w:rsidRDefault="00413E5C" w:rsidP="006C0FDD">
      <w:pPr>
        <w:pStyle w:val="ad"/>
        <w:ind w:left="709"/>
        <w:jc w:val="both"/>
        <w:rPr>
          <w:b/>
          <w:szCs w:val="28"/>
        </w:rPr>
      </w:pPr>
    </w:p>
    <w:p w:rsidR="006C0FDD" w:rsidRPr="00D275F8" w:rsidRDefault="00D275F8" w:rsidP="00D92CF1">
      <w:pPr>
        <w:pStyle w:val="ad"/>
        <w:ind w:left="709"/>
        <w:jc w:val="both"/>
        <w:rPr>
          <w:b/>
          <w:szCs w:val="28"/>
          <w:lang w:val="en-US"/>
        </w:rPr>
      </w:pPr>
      <w:r>
        <w:rPr>
          <w:b/>
          <w:szCs w:val="28"/>
          <w:lang w:val="en-US"/>
        </w:rPr>
        <w:t>….</w:t>
      </w:r>
    </w:p>
    <w:p w:rsidR="006C0FDD" w:rsidRPr="00F90C56" w:rsidRDefault="006C0FDD" w:rsidP="00D92CF1">
      <w:pPr>
        <w:pStyle w:val="ad"/>
        <w:ind w:left="709"/>
        <w:jc w:val="both"/>
        <w:rPr>
          <w:lang w:val="en-US"/>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F90C56">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F90C56">
            <w:pPr>
              <w:pStyle w:val="a6"/>
              <w:tabs>
                <w:tab w:val="left" w:pos="0"/>
              </w:tabs>
            </w:pPr>
            <w:r w:rsidRPr="00CF45A9">
              <w:rPr>
                <w:i w:val="0"/>
              </w:rPr>
              <w:t>«</w:t>
            </w:r>
            <w:r w:rsidR="00F90C56" w:rsidRPr="00F90C56">
              <w:rPr>
                <w:i w:val="0"/>
              </w:rPr>
              <w:t>17</w:t>
            </w:r>
            <w:r w:rsidRPr="00CF45A9">
              <w:rPr>
                <w:i w:val="0"/>
              </w:rPr>
              <w:t xml:space="preserve">» </w:t>
            </w:r>
            <w:r w:rsidR="00C91845">
              <w:rPr>
                <w:i w:val="0"/>
              </w:rPr>
              <w:t>марта</w:t>
            </w:r>
            <w:r w:rsidR="00C91845"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974ED7" w:rsidRPr="00373BCA" w:rsidRDefault="00974ED7" w:rsidP="0042398B">
      <w:pPr>
        <w:jc w:val="right"/>
        <w:rPr>
          <w:szCs w:val="28"/>
        </w:rPr>
      </w:pPr>
    </w:p>
    <w:sectPr w:rsidR="00974ED7" w:rsidRPr="00373BCA" w:rsidSect="00F21587">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D7F" w:rsidRDefault="00224D7F" w:rsidP="00B470FA">
      <w:r>
        <w:separator/>
      </w:r>
    </w:p>
  </w:endnote>
  <w:endnote w:type="continuationSeparator" w:id="1">
    <w:p w:rsidR="00224D7F" w:rsidRDefault="00224D7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D7F" w:rsidRDefault="00224D7F" w:rsidP="00B470FA">
      <w:r>
        <w:separator/>
      </w:r>
    </w:p>
  </w:footnote>
  <w:footnote w:type="continuationSeparator" w:id="1">
    <w:p w:rsidR="00224D7F" w:rsidRDefault="00224D7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18708"/>
      <w:docPartObj>
        <w:docPartGallery w:val="Page Numbers (Top of Page)"/>
        <w:docPartUnique/>
      </w:docPartObj>
    </w:sdtPr>
    <w:sdtEndPr>
      <w:rPr>
        <w:sz w:val="24"/>
        <w:szCs w:val="24"/>
      </w:rPr>
    </w:sdtEndPr>
    <w:sdtContent>
      <w:p w:rsidR="00413E5C" w:rsidRPr="00636E16" w:rsidRDefault="00DE5157" w:rsidP="00636E16">
        <w:pPr>
          <w:pStyle w:val="aff"/>
          <w:jc w:val="center"/>
          <w:rPr>
            <w:sz w:val="24"/>
            <w:szCs w:val="24"/>
          </w:rPr>
        </w:pPr>
        <w:r w:rsidRPr="00636E16">
          <w:rPr>
            <w:sz w:val="24"/>
            <w:szCs w:val="24"/>
          </w:rPr>
          <w:fldChar w:fldCharType="begin"/>
        </w:r>
        <w:r w:rsidR="00413E5C" w:rsidRPr="00636E16">
          <w:rPr>
            <w:sz w:val="24"/>
            <w:szCs w:val="24"/>
          </w:rPr>
          <w:instrText>PAGE   \* MERGEFORMAT</w:instrText>
        </w:r>
        <w:r w:rsidRPr="00636E16">
          <w:rPr>
            <w:sz w:val="24"/>
            <w:szCs w:val="24"/>
          </w:rPr>
          <w:fldChar w:fldCharType="separate"/>
        </w:r>
        <w:r w:rsidR="00D275F8">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1F0A7E7B"/>
    <w:multiLevelType w:val="hybridMultilevel"/>
    <w:tmpl w:val="122EBDCA"/>
    <w:lvl w:ilvl="0" w:tplc="DBD07BBC">
      <w:start w:val="1"/>
      <w:numFmt w:val="bullet"/>
      <w:lvlText w:val="-"/>
      <w:lvlJc w:val="left"/>
      <w:pPr>
        <w:ind w:left="1428" w:hanging="360"/>
      </w:pPr>
      <w:rPr>
        <w:rFonts w:ascii="Verdana" w:hAnsi="Verdan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544B5E"/>
    <w:multiLevelType w:val="hybridMultilevel"/>
    <w:tmpl w:val="2392F1AE"/>
    <w:lvl w:ilvl="0" w:tplc="DBD07BBC">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524CE"/>
    <w:multiLevelType w:val="hybridMultilevel"/>
    <w:tmpl w:val="C79AF3B4"/>
    <w:lvl w:ilvl="0" w:tplc="A25C4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2C476A37"/>
    <w:multiLevelType w:val="hybridMultilevel"/>
    <w:tmpl w:val="C37C1FD8"/>
    <w:lvl w:ilvl="0" w:tplc="C14E4796">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16">
    <w:nsid w:val="2C5A2AB5"/>
    <w:multiLevelType w:val="hybridMultilevel"/>
    <w:tmpl w:val="57AA6B48"/>
    <w:lvl w:ilvl="0" w:tplc="0EE496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0">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8310EC2"/>
    <w:multiLevelType w:val="hybridMultilevel"/>
    <w:tmpl w:val="D376DF26"/>
    <w:lvl w:ilvl="0" w:tplc="5250192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6">
    <w:nsid w:val="778041AC"/>
    <w:multiLevelType w:val="hybridMultilevel"/>
    <w:tmpl w:val="CDC0BA02"/>
    <w:lvl w:ilvl="0" w:tplc="47AE7340">
      <w:start w:val="4"/>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7">
    <w:nsid w:val="77D038FE"/>
    <w:multiLevelType w:val="multilevel"/>
    <w:tmpl w:val="450A0BB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A4B5F62"/>
    <w:multiLevelType w:val="multilevel"/>
    <w:tmpl w:val="2688BA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9"/>
  </w:num>
  <w:num w:numId="2">
    <w:abstractNumId w:val="26"/>
  </w:num>
  <w:num w:numId="3">
    <w:abstractNumId w:val="19"/>
  </w:num>
  <w:num w:numId="4">
    <w:abstractNumId w:val="8"/>
  </w:num>
  <w:num w:numId="5">
    <w:abstractNumId w:val="7"/>
  </w:num>
  <w:num w:numId="6">
    <w:abstractNumId w:val="0"/>
  </w:num>
  <w:num w:numId="7">
    <w:abstractNumId w:val="25"/>
  </w:num>
  <w:num w:numId="8">
    <w:abstractNumId w:val="10"/>
  </w:num>
  <w:num w:numId="9">
    <w:abstractNumId w:val="22"/>
  </w:num>
  <w:num w:numId="10">
    <w:abstractNumId w:val="21"/>
  </w:num>
  <w:num w:numId="11">
    <w:abstractNumId w:val="18"/>
  </w:num>
  <w:num w:numId="12">
    <w:abstractNumId w:val="14"/>
  </w:num>
  <w:num w:numId="13">
    <w:abstractNumId w:val="26"/>
  </w:num>
  <w:num w:numId="14">
    <w:abstractNumId w:val="17"/>
  </w:num>
  <w:num w:numId="15">
    <w:abstractNumId w:val="24"/>
  </w:num>
  <w:num w:numId="16">
    <w:abstractNumId w:val="20"/>
  </w:num>
  <w:num w:numId="17">
    <w:abstractNumId w:val="13"/>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5"/>
  </w:num>
  <w:num w:numId="21">
    <w:abstractNumId w:val="23"/>
  </w:num>
  <w:num w:numId="22">
    <w:abstractNumId w:val="11"/>
  </w:num>
  <w:num w:numId="23">
    <w:abstractNumId w:val="9"/>
  </w:num>
  <w:num w:numId="24">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1ED"/>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0EBE"/>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FAC"/>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7F"/>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595D"/>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F96"/>
    <w:rsid w:val="00410366"/>
    <w:rsid w:val="00410653"/>
    <w:rsid w:val="0041088A"/>
    <w:rsid w:val="00410A08"/>
    <w:rsid w:val="004113C7"/>
    <w:rsid w:val="004117DD"/>
    <w:rsid w:val="00412B30"/>
    <w:rsid w:val="00413E5C"/>
    <w:rsid w:val="00413F29"/>
    <w:rsid w:val="004152FB"/>
    <w:rsid w:val="00415333"/>
    <w:rsid w:val="004178EE"/>
    <w:rsid w:val="00421A08"/>
    <w:rsid w:val="00421A6B"/>
    <w:rsid w:val="0042326F"/>
    <w:rsid w:val="0042398B"/>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2B9A"/>
    <w:rsid w:val="00493981"/>
    <w:rsid w:val="0049510D"/>
    <w:rsid w:val="0049582F"/>
    <w:rsid w:val="004961E0"/>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5BF5"/>
    <w:rsid w:val="004D6D45"/>
    <w:rsid w:val="004D7944"/>
    <w:rsid w:val="004E0344"/>
    <w:rsid w:val="004E16AC"/>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446"/>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6807"/>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68BC"/>
    <w:rsid w:val="005A76A5"/>
    <w:rsid w:val="005A7E61"/>
    <w:rsid w:val="005B00AD"/>
    <w:rsid w:val="005B0A8F"/>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2BDB"/>
    <w:rsid w:val="006246B9"/>
    <w:rsid w:val="006258BF"/>
    <w:rsid w:val="00630275"/>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4A3"/>
    <w:rsid w:val="00676C8C"/>
    <w:rsid w:val="006776F2"/>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8D9"/>
    <w:rsid w:val="006E0FC4"/>
    <w:rsid w:val="006E1A75"/>
    <w:rsid w:val="006E292E"/>
    <w:rsid w:val="006E2A57"/>
    <w:rsid w:val="006E5C22"/>
    <w:rsid w:val="006E61D9"/>
    <w:rsid w:val="006E70E1"/>
    <w:rsid w:val="006E7201"/>
    <w:rsid w:val="006F0B92"/>
    <w:rsid w:val="006F251C"/>
    <w:rsid w:val="006F2FB3"/>
    <w:rsid w:val="006F435D"/>
    <w:rsid w:val="006F6157"/>
    <w:rsid w:val="007013C5"/>
    <w:rsid w:val="00701685"/>
    <w:rsid w:val="00701BCC"/>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35F1"/>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02AD"/>
    <w:rsid w:val="00791740"/>
    <w:rsid w:val="00791BC8"/>
    <w:rsid w:val="00791C3B"/>
    <w:rsid w:val="00791E10"/>
    <w:rsid w:val="007927A5"/>
    <w:rsid w:val="00795C93"/>
    <w:rsid w:val="00795D51"/>
    <w:rsid w:val="0079781B"/>
    <w:rsid w:val="007A082B"/>
    <w:rsid w:val="007A18B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A74"/>
    <w:rsid w:val="007D2CE4"/>
    <w:rsid w:val="007D31DD"/>
    <w:rsid w:val="007D3321"/>
    <w:rsid w:val="007D49DB"/>
    <w:rsid w:val="007D4B58"/>
    <w:rsid w:val="007D589F"/>
    <w:rsid w:val="007D6E17"/>
    <w:rsid w:val="007D6FC1"/>
    <w:rsid w:val="007E009C"/>
    <w:rsid w:val="007E0F46"/>
    <w:rsid w:val="007E14DB"/>
    <w:rsid w:val="007E16C9"/>
    <w:rsid w:val="007E1F21"/>
    <w:rsid w:val="007E2CCC"/>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496E"/>
    <w:rsid w:val="008254F8"/>
    <w:rsid w:val="00827053"/>
    <w:rsid w:val="00830A73"/>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F94"/>
    <w:rsid w:val="00881C54"/>
    <w:rsid w:val="00881F19"/>
    <w:rsid w:val="008829B9"/>
    <w:rsid w:val="00883A0D"/>
    <w:rsid w:val="008842A7"/>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D071D"/>
    <w:rsid w:val="008D07D1"/>
    <w:rsid w:val="008D0929"/>
    <w:rsid w:val="008D152B"/>
    <w:rsid w:val="008D162A"/>
    <w:rsid w:val="008D1B66"/>
    <w:rsid w:val="008D3145"/>
    <w:rsid w:val="008D36E3"/>
    <w:rsid w:val="008D4D8D"/>
    <w:rsid w:val="008D6D78"/>
    <w:rsid w:val="008D786A"/>
    <w:rsid w:val="008E0816"/>
    <w:rsid w:val="008E0D2F"/>
    <w:rsid w:val="008E0D3A"/>
    <w:rsid w:val="008E1EEF"/>
    <w:rsid w:val="008E22BF"/>
    <w:rsid w:val="008E3A39"/>
    <w:rsid w:val="008E5D61"/>
    <w:rsid w:val="008E5DAB"/>
    <w:rsid w:val="008F1304"/>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063"/>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4ED7"/>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4C37"/>
    <w:rsid w:val="009B5304"/>
    <w:rsid w:val="009B6B17"/>
    <w:rsid w:val="009B6B60"/>
    <w:rsid w:val="009B7198"/>
    <w:rsid w:val="009B7674"/>
    <w:rsid w:val="009C0643"/>
    <w:rsid w:val="009C0FEB"/>
    <w:rsid w:val="009C2327"/>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8C8"/>
    <w:rsid w:val="00AC19FF"/>
    <w:rsid w:val="00AC2710"/>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E7B1C"/>
    <w:rsid w:val="00BF0E77"/>
    <w:rsid w:val="00BF3943"/>
    <w:rsid w:val="00BF46F0"/>
    <w:rsid w:val="00BF553F"/>
    <w:rsid w:val="00BF5E36"/>
    <w:rsid w:val="00BF7DA2"/>
    <w:rsid w:val="00C00408"/>
    <w:rsid w:val="00C024B2"/>
    <w:rsid w:val="00C02F2B"/>
    <w:rsid w:val="00C03523"/>
    <w:rsid w:val="00C0371E"/>
    <w:rsid w:val="00C06231"/>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845"/>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64AB"/>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69AE"/>
    <w:rsid w:val="00D173B6"/>
    <w:rsid w:val="00D17A37"/>
    <w:rsid w:val="00D20776"/>
    <w:rsid w:val="00D23B01"/>
    <w:rsid w:val="00D23D76"/>
    <w:rsid w:val="00D23F95"/>
    <w:rsid w:val="00D26333"/>
    <w:rsid w:val="00D26402"/>
    <w:rsid w:val="00D2668C"/>
    <w:rsid w:val="00D275F8"/>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2CF1"/>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157"/>
    <w:rsid w:val="00DE5CE3"/>
    <w:rsid w:val="00DE6687"/>
    <w:rsid w:val="00DE76E1"/>
    <w:rsid w:val="00DF0458"/>
    <w:rsid w:val="00DF165E"/>
    <w:rsid w:val="00DF18ED"/>
    <w:rsid w:val="00DF2D15"/>
    <w:rsid w:val="00DF33E0"/>
    <w:rsid w:val="00DF3660"/>
    <w:rsid w:val="00DF5093"/>
    <w:rsid w:val="00DF5D54"/>
    <w:rsid w:val="00DF60BF"/>
    <w:rsid w:val="00DF6471"/>
    <w:rsid w:val="00DF76FF"/>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0C56"/>
    <w:rsid w:val="00F9163B"/>
    <w:rsid w:val="00F93712"/>
    <w:rsid w:val="00F955C9"/>
    <w:rsid w:val="00F95949"/>
    <w:rsid w:val="00F9597F"/>
    <w:rsid w:val="00F95A06"/>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6E08D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413E5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6E08D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413E5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E9F1-A0A8-47B8-8CAC-87204128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4789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2014-03-17T06:05:00Z</cp:lastPrinted>
  <dcterms:created xsi:type="dcterms:W3CDTF">2014-03-17T07:14:00Z</dcterms:created>
  <dcterms:modified xsi:type="dcterms:W3CDTF">2014-03-17T07:14:00Z</dcterms:modified>
</cp:coreProperties>
</file>