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C371D2" w:rsidRDefault="0024584A" w:rsidP="0024584A">
      <w:pPr>
        <w:ind w:firstLine="0"/>
        <w:jc w:val="center"/>
        <w:rPr>
          <w:rFonts w:eastAsiaTheme="majorEastAsia"/>
          <w:b/>
          <w:bCs/>
          <w:snapToGrid/>
          <w:szCs w:val="28"/>
          <w:lang w:eastAsia="en-US"/>
        </w:rPr>
      </w:pPr>
      <w:r w:rsidRPr="00C371D2">
        <w:rPr>
          <w:rFonts w:eastAsiaTheme="majorEastAsia"/>
          <w:b/>
          <w:bCs/>
          <w:snapToGrid/>
          <w:szCs w:val="28"/>
          <w:lang w:eastAsia="en-US"/>
        </w:rPr>
        <w:t>ИЗВЕЩЕНИЕ</w:t>
      </w:r>
    </w:p>
    <w:p w:rsidR="0024584A" w:rsidRPr="001C41BB" w:rsidRDefault="0024584A" w:rsidP="0024584A">
      <w:pPr>
        <w:ind w:firstLine="0"/>
        <w:jc w:val="center"/>
        <w:rPr>
          <w:rFonts w:eastAsiaTheme="majorEastAsia"/>
          <w:b/>
          <w:bCs/>
          <w:snapToGrid/>
          <w:szCs w:val="28"/>
          <w:lang w:eastAsia="en-US"/>
        </w:rPr>
      </w:pPr>
      <w:r w:rsidRPr="00C371D2">
        <w:rPr>
          <w:rFonts w:eastAsiaTheme="majorEastAsia"/>
          <w:b/>
          <w:bCs/>
          <w:snapToGrid/>
          <w:szCs w:val="28"/>
          <w:lang w:eastAsia="en-US"/>
        </w:rPr>
        <w:t>О РАЗМЕЩЕНИИ ЗАКАЗА № ЕП/</w:t>
      </w:r>
      <w:r w:rsidR="001C41BB" w:rsidRPr="001C41BB">
        <w:rPr>
          <w:rFonts w:eastAsiaTheme="majorEastAsia"/>
          <w:b/>
          <w:bCs/>
          <w:snapToGrid/>
          <w:szCs w:val="28"/>
          <w:lang w:eastAsia="en-US"/>
        </w:rPr>
        <w:t>007</w:t>
      </w:r>
      <w:r w:rsidRPr="00C371D2">
        <w:rPr>
          <w:rFonts w:eastAsiaTheme="majorEastAsia"/>
          <w:b/>
          <w:bCs/>
          <w:snapToGrid/>
          <w:szCs w:val="28"/>
          <w:lang w:eastAsia="en-US"/>
        </w:rPr>
        <w:t>/</w:t>
      </w:r>
      <w:r w:rsidR="001C41BB">
        <w:rPr>
          <w:rFonts w:eastAsiaTheme="majorEastAsia"/>
          <w:b/>
          <w:bCs/>
          <w:snapToGrid/>
          <w:szCs w:val="28"/>
          <w:lang w:eastAsia="en-US"/>
        </w:rPr>
        <w:t>ЦКПВФР</w:t>
      </w:r>
      <w:r w:rsidRPr="00C371D2">
        <w:rPr>
          <w:rFonts w:eastAsiaTheme="majorEastAsia"/>
          <w:b/>
          <w:bCs/>
          <w:snapToGrid/>
          <w:szCs w:val="28"/>
          <w:lang w:eastAsia="en-US"/>
        </w:rPr>
        <w:t>/</w:t>
      </w:r>
      <w:r w:rsidR="001C41BB">
        <w:rPr>
          <w:rFonts w:eastAsiaTheme="majorEastAsia"/>
          <w:b/>
          <w:bCs/>
          <w:snapToGrid/>
          <w:szCs w:val="28"/>
          <w:lang w:eastAsia="en-US"/>
        </w:rPr>
        <w:t>0027</w:t>
      </w:r>
    </w:p>
    <w:p w:rsidR="0024584A" w:rsidRPr="00C371D2" w:rsidRDefault="0024584A" w:rsidP="0024584A">
      <w:pPr>
        <w:pStyle w:val="1"/>
        <w:spacing w:before="0"/>
        <w:ind w:firstLine="0"/>
        <w:jc w:val="center"/>
        <w:rPr>
          <w:rFonts w:ascii="Times New Roman" w:hAnsi="Times New Roman" w:cs="Times New Roman"/>
          <w:color w:val="auto"/>
        </w:rPr>
      </w:pPr>
      <w:r w:rsidRPr="00C371D2">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C371D2" w:rsidRDefault="0024584A" w:rsidP="0024584A">
      <w:pPr>
        <w:ind w:firstLine="0"/>
        <w:jc w:val="center"/>
        <w:rPr>
          <w:b/>
          <w:sz w:val="32"/>
          <w:szCs w:val="32"/>
        </w:rPr>
      </w:pPr>
    </w:p>
    <w:p w:rsidR="0024584A" w:rsidRPr="00C371D2" w:rsidRDefault="0024584A" w:rsidP="0024584A">
      <w:pPr>
        <w:jc w:val="both"/>
      </w:pPr>
    </w:p>
    <w:p w:rsidR="0024584A" w:rsidRPr="00C371D2" w:rsidRDefault="0024584A" w:rsidP="0024584A">
      <w:pPr>
        <w:jc w:val="both"/>
      </w:pPr>
      <w:proofErr w:type="gramStart"/>
      <w:r w:rsidRPr="00C371D2">
        <w:rPr>
          <w:b/>
        </w:rPr>
        <w:t>Открытое акционерное общество «Центр по перевозке грузов в контейнерах «ТрансКонтейнер» (ОАО «ТрансКонтейнер»)</w:t>
      </w:r>
      <w:r w:rsidRPr="00C371D2">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3E7E1D" w:rsidRPr="00C371D2">
        <w:t xml:space="preserve"> </w:t>
      </w:r>
      <w:r w:rsidRPr="00C371D2">
        <w:t>ОАО «ТрансКонтейнер» (далее – Положение о закупке), проводит размещение заказа № ЕП/</w:t>
      </w:r>
      <w:r w:rsidR="001C41BB">
        <w:t>007</w:t>
      </w:r>
      <w:r w:rsidRPr="00C371D2">
        <w:t>/</w:t>
      </w:r>
      <w:r w:rsidR="001C41BB">
        <w:t>ЦКПВФР</w:t>
      </w:r>
      <w:r w:rsidRPr="00C371D2">
        <w:t>/</w:t>
      </w:r>
      <w:r w:rsidR="001C41BB">
        <w:t>0027</w:t>
      </w:r>
      <w:r w:rsidRPr="00C371D2">
        <w:t xml:space="preserve">  на</w:t>
      </w:r>
      <w:proofErr w:type="gramEnd"/>
      <w:r w:rsidRPr="00C371D2">
        <w:t xml:space="preserve"> закупку товаров, выполнение работ и оказание услуг у единственного поставщика (исполнителя, подрядчика)  (далее – Заказ).</w:t>
      </w:r>
    </w:p>
    <w:p w:rsidR="0024584A" w:rsidRPr="00C371D2" w:rsidRDefault="0024584A" w:rsidP="0024584A">
      <w:pPr>
        <w:jc w:val="both"/>
        <w:rPr>
          <w:b/>
        </w:rPr>
      </w:pPr>
    </w:p>
    <w:p w:rsidR="0024584A" w:rsidRPr="00C371D2" w:rsidRDefault="0024584A" w:rsidP="0024584A">
      <w:pPr>
        <w:jc w:val="both"/>
        <w:rPr>
          <w:i/>
        </w:rPr>
      </w:pPr>
      <w:r w:rsidRPr="00C371D2">
        <w:rPr>
          <w:b/>
        </w:rPr>
        <w:t xml:space="preserve">Заказчик: </w:t>
      </w:r>
      <w:r w:rsidRPr="00C371D2">
        <w:t xml:space="preserve"> ОАО «ТрансКонтейнер»</w:t>
      </w:r>
      <w:r w:rsidRPr="00C371D2">
        <w:rPr>
          <w:i/>
        </w:rPr>
        <w:t>.</w:t>
      </w:r>
    </w:p>
    <w:p w:rsidR="0024584A" w:rsidRPr="00C371D2" w:rsidRDefault="0024584A" w:rsidP="0024584A">
      <w:pPr>
        <w:jc w:val="both"/>
      </w:pPr>
      <w:r w:rsidRPr="00C371D2">
        <w:t>Местонахождение: Российская Федерация, 125047, Москва, Оружейный переулок, д. 19;</w:t>
      </w:r>
    </w:p>
    <w:p w:rsidR="0024584A" w:rsidRPr="00C371D2" w:rsidRDefault="0024584A" w:rsidP="0024584A">
      <w:pPr>
        <w:jc w:val="both"/>
      </w:pPr>
      <w:r w:rsidRPr="00C371D2">
        <w:t xml:space="preserve">Почтовый адрес: Российская Федерация, 125047, Москва, Оружейный переулок, д. 19.  </w:t>
      </w:r>
    </w:p>
    <w:p w:rsidR="0024584A" w:rsidRPr="00C371D2" w:rsidRDefault="0024584A" w:rsidP="0024584A">
      <w:pPr>
        <w:jc w:val="both"/>
      </w:pPr>
      <w:r w:rsidRPr="00C371D2">
        <w:t xml:space="preserve">Телефон: (495) 788-17-17, факс (499) 262-75-78, электронный адрес </w:t>
      </w:r>
      <w:hyperlink r:id="rId11" w:history="1">
        <w:r w:rsidRPr="00C371D2">
          <w:rPr>
            <w:rStyle w:val="a6"/>
          </w:rPr>
          <w:t>zakupki@trcont.ru</w:t>
        </w:r>
      </w:hyperlink>
      <w:r w:rsidRPr="00C371D2">
        <w:t>.</w:t>
      </w:r>
    </w:p>
    <w:p w:rsidR="0024584A" w:rsidRPr="00C371D2" w:rsidRDefault="0024584A" w:rsidP="0024584A">
      <w:pPr>
        <w:jc w:val="both"/>
      </w:pPr>
    </w:p>
    <w:p w:rsidR="0024584A" w:rsidRPr="00C371D2" w:rsidRDefault="0024584A" w:rsidP="0024584A">
      <w:pPr>
        <w:jc w:val="both"/>
        <w:rPr>
          <w:b/>
        </w:rPr>
      </w:pPr>
      <w:r w:rsidRPr="00C371D2">
        <w:rPr>
          <w:b/>
        </w:rPr>
        <w:t>Контактная информация Заказчика</w:t>
      </w:r>
    </w:p>
    <w:p w:rsidR="0024584A" w:rsidRPr="00C371D2" w:rsidRDefault="0024584A" w:rsidP="0024584A">
      <w:pPr>
        <w:jc w:val="both"/>
      </w:pPr>
      <w:r w:rsidRPr="00C371D2">
        <w:t xml:space="preserve">Ф.И.О.: </w:t>
      </w:r>
      <w:r w:rsidR="00B348FD" w:rsidRPr="00C371D2">
        <w:t>Хвастов Иван Валентинович</w:t>
      </w:r>
    </w:p>
    <w:p w:rsidR="0024584A" w:rsidRPr="00C371D2" w:rsidRDefault="0024584A" w:rsidP="0024584A">
      <w:pPr>
        <w:jc w:val="both"/>
        <w:rPr>
          <w:szCs w:val="28"/>
        </w:rPr>
      </w:pPr>
      <w:r w:rsidRPr="00C371D2">
        <w:rPr>
          <w:szCs w:val="28"/>
        </w:rPr>
        <w:t xml:space="preserve">Адрес электронной почты: </w:t>
      </w:r>
      <w:proofErr w:type="spellStart"/>
      <w:r w:rsidR="00B348FD" w:rsidRPr="00C371D2">
        <w:rPr>
          <w:szCs w:val="28"/>
          <w:lang w:val="en-US"/>
        </w:rPr>
        <w:t>KhvastovIV</w:t>
      </w:r>
      <w:proofErr w:type="spellEnd"/>
      <w:r w:rsidR="00237F23" w:rsidRPr="00C371D2">
        <w:rPr>
          <w:szCs w:val="28"/>
        </w:rPr>
        <w:t>@</w:t>
      </w:r>
      <w:proofErr w:type="spellStart"/>
      <w:r w:rsidR="00237F23" w:rsidRPr="00C371D2">
        <w:rPr>
          <w:szCs w:val="28"/>
        </w:rPr>
        <w:t>trcont.ru</w:t>
      </w:r>
      <w:proofErr w:type="spellEnd"/>
    </w:p>
    <w:p w:rsidR="0024584A" w:rsidRPr="00C371D2" w:rsidRDefault="0024584A" w:rsidP="0024584A">
      <w:pPr>
        <w:jc w:val="both"/>
        <w:rPr>
          <w:szCs w:val="28"/>
        </w:rPr>
      </w:pPr>
      <w:r w:rsidRPr="00C371D2">
        <w:rPr>
          <w:szCs w:val="28"/>
        </w:rPr>
        <w:t xml:space="preserve">Телефон: </w:t>
      </w:r>
      <w:r w:rsidR="00B348FD" w:rsidRPr="00C371D2">
        <w:rPr>
          <w:szCs w:val="28"/>
        </w:rPr>
        <w:t xml:space="preserve">+7 </w:t>
      </w:r>
      <w:r w:rsidR="00237F23" w:rsidRPr="00C371D2">
        <w:rPr>
          <w:szCs w:val="28"/>
        </w:rPr>
        <w:t>(495) 788-1717</w:t>
      </w:r>
      <w:r w:rsidR="00B348FD" w:rsidRPr="00C371D2">
        <w:rPr>
          <w:szCs w:val="28"/>
        </w:rPr>
        <w:t>,</w:t>
      </w:r>
      <w:r w:rsidR="00237F23" w:rsidRPr="00C371D2">
        <w:rPr>
          <w:szCs w:val="28"/>
        </w:rPr>
        <w:t xml:space="preserve"> доб. </w:t>
      </w:r>
      <w:r w:rsidR="00B348FD" w:rsidRPr="00C371D2">
        <w:rPr>
          <w:szCs w:val="28"/>
        </w:rPr>
        <w:t>13</w:t>
      </w:r>
      <w:r w:rsidR="00237F23" w:rsidRPr="00C371D2">
        <w:rPr>
          <w:szCs w:val="28"/>
        </w:rPr>
        <w:t>-</w:t>
      </w:r>
      <w:r w:rsidR="00B348FD" w:rsidRPr="00C371D2">
        <w:rPr>
          <w:szCs w:val="28"/>
        </w:rPr>
        <w:t>90</w:t>
      </w:r>
      <w:r w:rsidRPr="00C371D2">
        <w:rPr>
          <w:szCs w:val="28"/>
        </w:rPr>
        <w:t>,</w:t>
      </w:r>
    </w:p>
    <w:p w:rsidR="0024584A" w:rsidRPr="00C371D2" w:rsidRDefault="0024584A" w:rsidP="0024584A">
      <w:pPr>
        <w:jc w:val="both"/>
      </w:pPr>
      <w:r w:rsidRPr="00C371D2">
        <w:t xml:space="preserve">Факс: </w:t>
      </w:r>
      <w:r w:rsidR="00B348FD" w:rsidRPr="00C371D2">
        <w:t>+7 (495) 788-1717, доб. 17-84.</w:t>
      </w:r>
    </w:p>
    <w:p w:rsidR="0024584A" w:rsidRPr="00C371D2" w:rsidRDefault="0024584A" w:rsidP="0024584A">
      <w:pPr>
        <w:jc w:val="both"/>
      </w:pPr>
    </w:p>
    <w:p w:rsidR="0024584A" w:rsidRPr="00C371D2" w:rsidRDefault="0024584A" w:rsidP="0024584A">
      <w:pPr>
        <w:jc w:val="both"/>
        <w:rPr>
          <w:i/>
        </w:rPr>
      </w:pPr>
      <w:r w:rsidRPr="00C371D2">
        <w:rPr>
          <w:b/>
        </w:rPr>
        <w:t xml:space="preserve">1. Предмет Заказа: </w:t>
      </w:r>
      <w:r w:rsidR="00607556" w:rsidRPr="00C371D2">
        <w:rPr>
          <w:szCs w:val="28"/>
        </w:rPr>
        <w:t xml:space="preserve">заключение дополнительных соглашений к </w:t>
      </w:r>
      <w:r w:rsidR="00024CDE" w:rsidRPr="00C371D2">
        <w:rPr>
          <w:szCs w:val="28"/>
        </w:rPr>
        <w:t xml:space="preserve"> договору по допуску ценных бумаг к торгам от «15» декабря 2010г. (далее - Договор), связанных с ежегодным пересмотром тарифов Лондонской Фондовой Биржи на услуги по поддержанию торговли ценными бумагами ОАО «ТрансКонтейнер» в торгах на площадке IOB Лондонской Фондовой Биржи, предусмотренные  </w:t>
      </w:r>
      <w:proofErr w:type="spellStart"/>
      <w:r w:rsidR="00024CDE" w:rsidRPr="00C371D2">
        <w:rPr>
          <w:szCs w:val="28"/>
        </w:rPr>
        <w:t>п</w:t>
      </w:r>
      <w:proofErr w:type="gramStart"/>
      <w:r w:rsidR="00024CDE" w:rsidRPr="00C371D2">
        <w:rPr>
          <w:szCs w:val="28"/>
        </w:rPr>
        <w:t>.п</w:t>
      </w:r>
      <w:proofErr w:type="spellEnd"/>
      <w:proofErr w:type="gramEnd"/>
      <w:r w:rsidR="00024CDE" w:rsidRPr="00C371D2">
        <w:rPr>
          <w:szCs w:val="28"/>
        </w:rPr>
        <w:t xml:space="preserve"> б) п.1.1 Договора</w:t>
      </w:r>
      <w:r w:rsidR="00607556" w:rsidRPr="00C371D2">
        <w:rPr>
          <w:szCs w:val="28"/>
        </w:rPr>
        <w:t>.</w:t>
      </w:r>
    </w:p>
    <w:p w:rsidR="0024584A" w:rsidRPr="00C371D2" w:rsidRDefault="0024584A" w:rsidP="0024584A">
      <w:pPr>
        <w:jc w:val="both"/>
        <w:rPr>
          <w:szCs w:val="28"/>
        </w:rPr>
      </w:pPr>
      <w:r w:rsidRPr="00C371D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C371D2" w:rsidTr="00F92C43">
        <w:tc>
          <w:tcPr>
            <w:tcW w:w="817" w:type="dxa"/>
          </w:tcPr>
          <w:p w:rsidR="0024584A" w:rsidRPr="00C371D2" w:rsidRDefault="0024584A" w:rsidP="00F92C43">
            <w:pPr>
              <w:ind w:firstLine="0"/>
              <w:rPr>
                <w:sz w:val="24"/>
                <w:szCs w:val="24"/>
              </w:rPr>
            </w:pPr>
            <w:r w:rsidRPr="00C371D2">
              <w:rPr>
                <w:sz w:val="24"/>
                <w:szCs w:val="24"/>
              </w:rPr>
              <w:t>№</w:t>
            </w:r>
          </w:p>
        </w:tc>
        <w:tc>
          <w:tcPr>
            <w:tcW w:w="1819" w:type="dxa"/>
          </w:tcPr>
          <w:p w:rsidR="0024584A" w:rsidRPr="00C371D2" w:rsidRDefault="0024584A" w:rsidP="00F92C43">
            <w:pPr>
              <w:ind w:firstLine="0"/>
              <w:rPr>
                <w:sz w:val="24"/>
                <w:szCs w:val="24"/>
              </w:rPr>
            </w:pPr>
            <w:r w:rsidRPr="00C371D2">
              <w:rPr>
                <w:sz w:val="24"/>
                <w:szCs w:val="24"/>
              </w:rPr>
              <w:t>Классификация по ОКДП</w:t>
            </w:r>
          </w:p>
        </w:tc>
        <w:tc>
          <w:tcPr>
            <w:tcW w:w="1819" w:type="dxa"/>
          </w:tcPr>
          <w:p w:rsidR="0024584A" w:rsidRPr="00C371D2" w:rsidRDefault="0024584A" w:rsidP="00F92C43">
            <w:pPr>
              <w:ind w:firstLine="0"/>
              <w:rPr>
                <w:sz w:val="24"/>
                <w:szCs w:val="24"/>
              </w:rPr>
            </w:pPr>
            <w:r w:rsidRPr="00C371D2">
              <w:rPr>
                <w:sz w:val="24"/>
                <w:szCs w:val="24"/>
              </w:rPr>
              <w:t>Классификация по ОКВЭД</w:t>
            </w:r>
          </w:p>
        </w:tc>
        <w:tc>
          <w:tcPr>
            <w:tcW w:w="1323" w:type="dxa"/>
          </w:tcPr>
          <w:p w:rsidR="0024584A" w:rsidRPr="00C371D2" w:rsidRDefault="0024584A" w:rsidP="00F92C43">
            <w:pPr>
              <w:ind w:firstLine="0"/>
              <w:rPr>
                <w:sz w:val="24"/>
                <w:szCs w:val="24"/>
              </w:rPr>
            </w:pPr>
            <w:r w:rsidRPr="00C371D2">
              <w:rPr>
                <w:sz w:val="24"/>
                <w:szCs w:val="24"/>
              </w:rPr>
              <w:t>Ед. измерения</w:t>
            </w:r>
          </w:p>
        </w:tc>
        <w:tc>
          <w:tcPr>
            <w:tcW w:w="1418" w:type="dxa"/>
          </w:tcPr>
          <w:p w:rsidR="0024584A" w:rsidRPr="00C371D2" w:rsidRDefault="0024584A" w:rsidP="00F92C43">
            <w:pPr>
              <w:ind w:firstLine="0"/>
              <w:rPr>
                <w:sz w:val="24"/>
                <w:szCs w:val="24"/>
              </w:rPr>
            </w:pPr>
            <w:r w:rsidRPr="00C371D2">
              <w:rPr>
                <w:sz w:val="24"/>
                <w:szCs w:val="24"/>
              </w:rPr>
              <w:t>Количество (Объем)</w:t>
            </w:r>
          </w:p>
        </w:tc>
        <w:tc>
          <w:tcPr>
            <w:tcW w:w="2268" w:type="dxa"/>
          </w:tcPr>
          <w:p w:rsidR="0024584A" w:rsidRPr="00C371D2" w:rsidRDefault="0024584A" w:rsidP="00F92C43">
            <w:pPr>
              <w:ind w:firstLine="0"/>
              <w:rPr>
                <w:sz w:val="24"/>
                <w:szCs w:val="24"/>
              </w:rPr>
            </w:pPr>
            <w:r w:rsidRPr="00C371D2">
              <w:rPr>
                <w:sz w:val="24"/>
                <w:szCs w:val="24"/>
              </w:rPr>
              <w:t>Дополнительные сведения</w:t>
            </w:r>
          </w:p>
        </w:tc>
      </w:tr>
      <w:tr w:rsidR="0024584A" w:rsidRPr="00C371D2" w:rsidTr="00F92C43">
        <w:tc>
          <w:tcPr>
            <w:tcW w:w="817" w:type="dxa"/>
          </w:tcPr>
          <w:p w:rsidR="0024584A" w:rsidRPr="00C371D2" w:rsidRDefault="0024584A" w:rsidP="00F92C43">
            <w:pPr>
              <w:ind w:firstLine="0"/>
              <w:rPr>
                <w:sz w:val="24"/>
                <w:szCs w:val="24"/>
              </w:rPr>
            </w:pPr>
            <w:r w:rsidRPr="00C371D2">
              <w:rPr>
                <w:sz w:val="24"/>
                <w:szCs w:val="24"/>
              </w:rPr>
              <w:t>1.</w:t>
            </w:r>
          </w:p>
        </w:tc>
        <w:tc>
          <w:tcPr>
            <w:tcW w:w="1819" w:type="dxa"/>
          </w:tcPr>
          <w:p w:rsidR="0024584A" w:rsidRPr="00C371D2" w:rsidRDefault="008E31C6" w:rsidP="00F92C43">
            <w:pPr>
              <w:ind w:firstLine="0"/>
              <w:rPr>
                <w:sz w:val="24"/>
                <w:szCs w:val="24"/>
              </w:rPr>
            </w:pPr>
            <w:r w:rsidRPr="00C371D2">
              <w:rPr>
                <w:sz w:val="24"/>
                <w:szCs w:val="24"/>
              </w:rPr>
              <w:t>5190010</w:t>
            </w:r>
          </w:p>
        </w:tc>
        <w:tc>
          <w:tcPr>
            <w:tcW w:w="1819" w:type="dxa"/>
          </w:tcPr>
          <w:p w:rsidR="0024584A" w:rsidRPr="00C371D2" w:rsidRDefault="008E31C6" w:rsidP="00F92C43">
            <w:pPr>
              <w:ind w:firstLine="0"/>
              <w:rPr>
                <w:sz w:val="24"/>
                <w:szCs w:val="24"/>
              </w:rPr>
            </w:pPr>
            <w:r w:rsidRPr="00C371D2">
              <w:rPr>
                <w:sz w:val="24"/>
                <w:szCs w:val="24"/>
              </w:rPr>
              <w:t>67.11.1</w:t>
            </w:r>
          </w:p>
        </w:tc>
        <w:tc>
          <w:tcPr>
            <w:tcW w:w="1323" w:type="dxa"/>
          </w:tcPr>
          <w:p w:rsidR="0024584A" w:rsidRPr="00C371D2" w:rsidRDefault="008E31C6" w:rsidP="00F92C43">
            <w:pPr>
              <w:ind w:firstLine="0"/>
              <w:rPr>
                <w:sz w:val="24"/>
                <w:szCs w:val="24"/>
              </w:rPr>
            </w:pPr>
            <w:r w:rsidRPr="00C371D2">
              <w:rPr>
                <w:sz w:val="24"/>
                <w:szCs w:val="24"/>
              </w:rPr>
              <w:t>условная единица</w:t>
            </w:r>
          </w:p>
        </w:tc>
        <w:tc>
          <w:tcPr>
            <w:tcW w:w="1418" w:type="dxa"/>
          </w:tcPr>
          <w:p w:rsidR="0024584A" w:rsidRPr="00C371D2" w:rsidRDefault="008E31C6" w:rsidP="00F92C43">
            <w:pPr>
              <w:ind w:firstLine="0"/>
              <w:rPr>
                <w:sz w:val="24"/>
                <w:szCs w:val="24"/>
              </w:rPr>
            </w:pPr>
            <w:r w:rsidRPr="00C371D2">
              <w:rPr>
                <w:sz w:val="24"/>
                <w:szCs w:val="24"/>
              </w:rPr>
              <w:t>1</w:t>
            </w:r>
          </w:p>
        </w:tc>
        <w:tc>
          <w:tcPr>
            <w:tcW w:w="2268" w:type="dxa"/>
          </w:tcPr>
          <w:p w:rsidR="0024584A" w:rsidRPr="00C371D2" w:rsidRDefault="0024584A" w:rsidP="003E7E1D">
            <w:pPr>
              <w:ind w:firstLine="0"/>
              <w:rPr>
                <w:sz w:val="24"/>
                <w:szCs w:val="24"/>
              </w:rPr>
            </w:pPr>
            <w:r w:rsidRPr="00C371D2">
              <w:rPr>
                <w:sz w:val="24"/>
                <w:szCs w:val="24"/>
              </w:rPr>
              <w:t xml:space="preserve">Строка годового плана закупок № </w:t>
            </w:r>
            <w:r w:rsidR="003E7E1D" w:rsidRPr="00C371D2">
              <w:rPr>
                <w:sz w:val="24"/>
                <w:szCs w:val="24"/>
              </w:rPr>
              <w:t>93</w:t>
            </w:r>
          </w:p>
        </w:tc>
      </w:tr>
    </w:tbl>
    <w:p w:rsidR="0024584A" w:rsidRPr="00C371D2" w:rsidRDefault="0024584A" w:rsidP="0024584A">
      <w:pPr>
        <w:jc w:val="both"/>
        <w:rPr>
          <w:b/>
        </w:rPr>
      </w:pPr>
      <w:r w:rsidRPr="00C371D2">
        <w:rPr>
          <w:b/>
        </w:rPr>
        <w:t xml:space="preserve">2. Количество (Объем) </w:t>
      </w:r>
      <w:r w:rsidR="00607556" w:rsidRPr="00C371D2">
        <w:rPr>
          <w:b/>
        </w:rPr>
        <w:t xml:space="preserve">услуг: </w:t>
      </w:r>
      <w:r w:rsidR="00461B6B" w:rsidRPr="00C371D2">
        <w:t>объем услуг</w:t>
      </w:r>
      <w:r w:rsidR="00461B6B" w:rsidRPr="00C371D2">
        <w:rPr>
          <w:b/>
        </w:rPr>
        <w:t xml:space="preserve"> </w:t>
      </w:r>
      <w:r w:rsidR="00607556" w:rsidRPr="00C371D2">
        <w:t xml:space="preserve">определяется </w:t>
      </w:r>
      <w:r w:rsidR="00607556" w:rsidRPr="00C371D2">
        <w:rPr>
          <w:szCs w:val="28"/>
        </w:rPr>
        <w:t>в</w:t>
      </w:r>
      <w:r w:rsidR="00391587" w:rsidRPr="00C371D2">
        <w:rPr>
          <w:szCs w:val="28"/>
        </w:rPr>
        <w:t xml:space="preserve"> соответствии с </w:t>
      </w:r>
      <w:r w:rsidR="00607556" w:rsidRPr="00C371D2">
        <w:rPr>
          <w:szCs w:val="28"/>
        </w:rPr>
        <w:t xml:space="preserve">условиями </w:t>
      </w:r>
      <w:r w:rsidR="00692A07" w:rsidRPr="00C371D2">
        <w:rPr>
          <w:szCs w:val="28"/>
        </w:rPr>
        <w:t>Д</w:t>
      </w:r>
      <w:r w:rsidR="00391587" w:rsidRPr="00C371D2">
        <w:rPr>
          <w:szCs w:val="28"/>
        </w:rPr>
        <w:t>оговор</w:t>
      </w:r>
      <w:r w:rsidR="00607556" w:rsidRPr="00C371D2">
        <w:rPr>
          <w:szCs w:val="28"/>
        </w:rPr>
        <w:t>а</w:t>
      </w:r>
      <w:r w:rsidR="00391587" w:rsidRPr="00C371D2">
        <w:rPr>
          <w:szCs w:val="28"/>
        </w:rPr>
        <w:t>.</w:t>
      </w:r>
    </w:p>
    <w:p w:rsidR="0024584A" w:rsidRPr="00C371D2" w:rsidRDefault="0024584A" w:rsidP="00607556">
      <w:pPr>
        <w:ind w:firstLine="851"/>
        <w:jc w:val="both"/>
        <w:rPr>
          <w:szCs w:val="28"/>
        </w:rPr>
      </w:pPr>
      <w:r w:rsidRPr="00C371D2">
        <w:rPr>
          <w:b/>
        </w:rPr>
        <w:lastRenderedPageBreak/>
        <w:t>3. Максимальная цена договора</w:t>
      </w:r>
      <w:r w:rsidR="00E93B44" w:rsidRPr="00C371D2">
        <w:rPr>
          <w:b/>
        </w:rPr>
        <w:t xml:space="preserve"> </w:t>
      </w:r>
      <w:r w:rsidR="00C73A6B" w:rsidRPr="00C371D2">
        <w:rPr>
          <w:b/>
        </w:rPr>
        <w:t>(зак</w:t>
      </w:r>
      <w:r w:rsidR="00607556" w:rsidRPr="00C371D2">
        <w:rPr>
          <w:b/>
        </w:rPr>
        <w:t>а</w:t>
      </w:r>
      <w:r w:rsidR="00E93B44" w:rsidRPr="00C371D2">
        <w:rPr>
          <w:b/>
        </w:rPr>
        <w:t>за</w:t>
      </w:r>
      <w:r w:rsidR="00C73A6B" w:rsidRPr="00C371D2">
        <w:rPr>
          <w:b/>
        </w:rPr>
        <w:t>)</w:t>
      </w:r>
      <w:r w:rsidRPr="00C371D2">
        <w:rPr>
          <w:b/>
        </w:rPr>
        <w:t>:</w:t>
      </w:r>
      <w:r w:rsidR="00461B6B" w:rsidRPr="00C371D2">
        <w:t xml:space="preserve"> </w:t>
      </w:r>
      <w:r w:rsidR="00461B6B" w:rsidRPr="00C371D2">
        <w:rPr>
          <w:szCs w:val="28"/>
        </w:rPr>
        <w:t>формируется исходя из общего количества оказанных услуг в течение срока действия Договора</w:t>
      </w:r>
      <w:r w:rsidR="00692A07" w:rsidRPr="00C371D2">
        <w:rPr>
          <w:szCs w:val="28"/>
        </w:rPr>
        <w:t>.</w:t>
      </w:r>
    </w:p>
    <w:p w:rsidR="0024584A" w:rsidRPr="00C371D2" w:rsidRDefault="0024584A" w:rsidP="0024584A">
      <w:pPr>
        <w:pStyle w:val="Default"/>
        <w:ind w:firstLine="708"/>
        <w:jc w:val="both"/>
        <w:rPr>
          <w:iCs/>
          <w:color w:val="auto"/>
          <w:sz w:val="28"/>
          <w:szCs w:val="28"/>
        </w:rPr>
      </w:pPr>
      <w:r w:rsidRPr="00C371D2">
        <w:rPr>
          <w:b/>
          <w:iCs/>
          <w:color w:val="auto"/>
          <w:sz w:val="28"/>
          <w:szCs w:val="28"/>
        </w:rPr>
        <w:t>4. Порядок определения цены за</w:t>
      </w:r>
      <w:r w:rsidR="006C6424" w:rsidRPr="00C371D2">
        <w:rPr>
          <w:b/>
          <w:iCs/>
          <w:color w:val="auto"/>
          <w:sz w:val="28"/>
          <w:szCs w:val="28"/>
        </w:rPr>
        <w:t xml:space="preserve"> услуги:</w:t>
      </w:r>
      <w:r w:rsidR="00461B6B" w:rsidRPr="00C371D2">
        <w:rPr>
          <w:b/>
          <w:iCs/>
          <w:color w:val="auto"/>
          <w:sz w:val="28"/>
          <w:szCs w:val="28"/>
        </w:rPr>
        <w:t xml:space="preserve"> </w:t>
      </w:r>
      <w:r w:rsidR="00607556" w:rsidRPr="00C371D2">
        <w:rPr>
          <w:sz w:val="28"/>
          <w:szCs w:val="28"/>
        </w:rPr>
        <w:t xml:space="preserve">стоимость услуг по поддержанию торговли ценными бумагами ОАО «ТрансКонтейнер» в торгах на площадке IOB </w:t>
      </w:r>
      <w:r w:rsidR="004D18EC" w:rsidRPr="00C371D2">
        <w:rPr>
          <w:sz w:val="28"/>
          <w:szCs w:val="28"/>
        </w:rPr>
        <w:t xml:space="preserve">устанавливается ежегодно </w:t>
      </w:r>
      <w:r w:rsidR="00607556" w:rsidRPr="00C371D2">
        <w:rPr>
          <w:sz w:val="28"/>
          <w:szCs w:val="28"/>
        </w:rPr>
        <w:t>Лондонской Фондовой Бирж</w:t>
      </w:r>
      <w:r w:rsidR="0036366B" w:rsidRPr="00C371D2">
        <w:rPr>
          <w:sz w:val="28"/>
          <w:szCs w:val="28"/>
        </w:rPr>
        <w:t>е</w:t>
      </w:r>
      <w:r w:rsidR="004D18EC" w:rsidRPr="00C371D2">
        <w:rPr>
          <w:sz w:val="28"/>
          <w:szCs w:val="28"/>
        </w:rPr>
        <w:t xml:space="preserve">й и </w:t>
      </w:r>
      <w:r w:rsidR="006C6424" w:rsidRPr="00C371D2">
        <w:rPr>
          <w:iCs/>
          <w:color w:val="auto"/>
          <w:sz w:val="28"/>
          <w:szCs w:val="28"/>
        </w:rPr>
        <w:t xml:space="preserve"> </w:t>
      </w:r>
      <w:r w:rsidR="00607556" w:rsidRPr="00C371D2">
        <w:rPr>
          <w:iCs/>
          <w:color w:val="auto"/>
          <w:sz w:val="28"/>
          <w:szCs w:val="28"/>
        </w:rPr>
        <w:t>рассчитывается из</w:t>
      </w:r>
      <w:r w:rsidR="006C6424" w:rsidRPr="00C371D2">
        <w:rPr>
          <w:iCs/>
          <w:color w:val="auto"/>
          <w:sz w:val="28"/>
          <w:szCs w:val="28"/>
        </w:rPr>
        <w:t xml:space="preserve"> учета рыночной капитализации Эмитента.</w:t>
      </w:r>
    </w:p>
    <w:p w:rsidR="0024584A" w:rsidRPr="00C371D2" w:rsidRDefault="0024584A" w:rsidP="0024584A">
      <w:pPr>
        <w:pStyle w:val="Default"/>
        <w:ind w:firstLine="708"/>
        <w:jc w:val="both"/>
        <w:rPr>
          <w:iCs/>
          <w:color w:val="auto"/>
          <w:sz w:val="28"/>
          <w:szCs w:val="28"/>
        </w:rPr>
      </w:pPr>
      <w:r w:rsidRPr="00C371D2">
        <w:rPr>
          <w:b/>
          <w:iCs/>
          <w:color w:val="auto"/>
          <w:sz w:val="28"/>
          <w:szCs w:val="28"/>
        </w:rPr>
        <w:t xml:space="preserve">5. Форма, сроки и порядок оплаты </w:t>
      </w:r>
      <w:r w:rsidR="008758D8" w:rsidRPr="00C371D2">
        <w:rPr>
          <w:b/>
          <w:iCs/>
          <w:color w:val="auto"/>
          <w:sz w:val="28"/>
          <w:szCs w:val="28"/>
        </w:rPr>
        <w:t>услуг:</w:t>
      </w:r>
      <w:r w:rsidR="0007677F" w:rsidRPr="00C371D2">
        <w:rPr>
          <w:b/>
          <w:iCs/>
          <w:color w:val="auto"/>
          <w:sz w:val="28"/>
          <w:szCs w:val="28"/>
        </w:rPr>
        <w:t xml:space="preserve"> </w:t>
      </w:r>
      <w:r w:rsidR="0007677F" w:rsidRPr="00C371D2">
        <w:rPr>
          <w:iCs/>
          <w:color w:val="auto"/>
          <w:sz w:val="28"/>
          <w:szCs w:val="28"/>
        </w:rPr>
        <w:t xml:space="preserve">порядок оплаты услуг </w:t>
      </w:r>
      <w:r w:rsidR="0007677F" w:rsidRPr="00C371D2">
        <w:rPr>
          <w:sz w:val="28"/>
          <w:szCs w:val="28"/>
        </w:rPr>
        <w:t>определяется в соответствии с условиями Договора</w:t>
      </w:r>
      <w:r w:rsidR="00AA5AFF" w:rsidRPr="00C371D2">
        <w:rPr>
          <w:iCs/>
          <w:color w:val="auto"/>
          <w:sz w:val="28"/>
          <w:szCs w:val="28"/>
        </w:rPr>
        <w:t>.</w:t>
      </w:r>
    </w:p>
    <w:p w:rsidR="0024584A" w:rsidRPr="00C371D2" w:rsidRDefault="0024584A" w:rsidP="0024584A">
      <w:pPr>
        <w:pStyle w:val="Default"/>
        <w:ind w:firstLine="708"/>
        <w:jc w:val="both"/>
        <w:rPr>
          <w:color w:val="auto"/>
          <w:sz w:val="28"/>
          <w:szCs w:val="28"/>
        </w:rPr>
      </w:pPr>
      <w:r w:rsidRPr="00C371D2">
        <w:rPr>
          <w:b/>
          <w:iCs/>
          <w:color w:val="auto"/>
          <w:sz w:val="28"/>
          <w:szCs w:val="28"/>
        </w:rPr>
        <w:t xml:space="preserve">6. Срок </w:t>
      </w:r>
      <w:r w:rsidR="00FF741A" w:rsidRPr="00C371D2">
        <w:rPr>
          <w:b/>
          <w:iCs/>
          <w:color w:val="auto"/>
          <w:sz w:val="28"/>
          <w:szCs w:val="28"/>
        </w:rPr>
        <w:t>оказания услуг:</w:t>
      </w:r>
      <w:r w:rsidR="00FF741A" w:rsidRPr="00C371D2">
        <w:rPr>
          <w:iCs/>
          <w:color w:val="auto"/>
          <w:sz w:val="28"/>
          <w:szCs w:val="28"/>
        </w:rPr>
        <w:t xml:space="preserve"> </w:t>
      </w:r>
      <w:r w:rsidR="00692A07" w:rsidRPr="00C371D2">
        <w:rPr>
          <w:iCs/>
          <w:color w:val="auto"/>
          <w:sz w:val="28"/>
          <w:szCs w:val="28"/>
        </w:rPr>
        <w:t xml:space="preserve">услуги </w:t>
      </w:r>
      <w:r w:rsidR="004D18EC" w:rsidRPr="00C371D2">
        <w:rPr>
          <w:iCs/>
          <w:color w:val="auto"/>
          <w:sz w:val="28"/>
          <w:szCs w:val="28"/>
        </w:rPr>
        <w:t xml:space="preserve">по Договору </w:t>
      </w:r>
      <w:r w:rsidR="00692A07" w:rsidRPr="00C371D2">
        <w:rPr>
          <w:iCs/>
          <w:color w:val="auto"/>
          <w:sz w:val="28"/>
          <w:szCs w:val="28"/>
        </w:rPr>
        <w:t xml:space="preserve">оказываются </w:t>
      </w:r>
      <w:r w:rsidR="00FF741A" w:rsidRPr="00C371D2">
        <w:rPr>
          <w:iCs/>
          <w:color w:val="auto"/>
          <w:sz w:val="28"/>
          <w:szCs w:val="28"/>
        </w:rPr>
        <w:t xml:space="preserve">до момента исключения заявленных ценных бумаг </w:t>
      </w:r>
      <w:r w:rsidR="00461B6B" w:rsidRPr="00C371D2">
        <w:rPr>
          <w:iCs/>
          <w:color w:val="auto"/>
          <w:sz w:val="28"/>
          <w:szCs w:val="28"/>
        </w:rPr>
        <w:t xml:space="preserve">ОАО «ТрансКонтейнер» </w:t>
      </w:r>
      <w:r w:rsidR="00FF741A" w:rsidRPr="00C371D2">
        <w:rPr>
          <w:iCs/>
          <w:color w:val="auto"/>
          <w:sz w:val="28"/>
          <w:szCs w:val="28"/>
        </w:rPr>
        <w:t xml:space="preserve">из торгов на </w:t>
      </w:r>
      <w:r w:rsidR="00FF741A" w:rsidRPr="00C371D2">
        <w:rPr>
          <w:color w:val="auto"/>
          <w:sz w:val="28"/>
          <w:szCs w:val="28"/>
        </w:rPr>
        <w:t>площадке IOB Лондонской Фондовой Биржи</w:t>
      </w:r>
      <w:r w:rsidR="00FF741A" w:rsidRPr="00C371D2">
        <w:rPr>
          <w:iCs/>
          <w:color w:val="auto"/>
          <w:sz w:val="28"/>
          <w:szCs w:val="28"/>
        </w:rPr>
        <w:t>.</w:t>
      </w:r>
    </w:p>
    <w:p w:rsidR="004E6244" w:rsidRPr="00C371D2" w:rsidRDefault="0024584A" w:rsidP="0024584A">
      <w:pPr>
        <w:pStyle w:val="Default"/>
        <w:ind w:firstLine="708"/>
        <w:jc w:val="both"/>
        <w:rPr>
          <w:i/>
          <w:iCs/>
          <w:color w:val="auto"/>
          <w:sz w:val="28"/>
          <w:szCs w:val="28"/>
        </w:rPr>
      </w:pPr>
      <w:r w:rsidRPr="00C371D2">
        <w:rPr>
          <w:b/>
          <w:iCs/>
          <w:color w:val="auto"/>
          <w:sz w:val="28"/>
          <w:szCs w:val="28"/>
        </w:rPr>
        <w:t xml:space="preserve">7. Место </w:t>
      </w:r>
      <w:r w:rsidR="004E6244" w:rsidRPr="00C371D2">
        <w:rPr>
          <w:b/>
          <w:iCs/>
          <w:color w:val="auto"/>
          <w:sz w:val="28"/>
          <w:szCs w:val="28"/>
        </w:rPr>
        <w:t>оказания услуг:</w:t>
      </w:r>
      <w:r w:rsidR="004E6244" w:rsidRPr="00C371D2">
        <w:rPr>
          <w:iCs/>
          <w:color w:val="auto"/>
          <w:sz w:val="28"/>
          <w:szCs w:val="28"/>
        </w:rPr>
        <w:t xml:space="preserve"> Лондон, Великобритания</w:t>
      </w:r>
      <w:r w:rsidR="004E6244" w:rsidRPr="00C371D2">
        <w:rPr>
          <w:color w:val="auto"/>
          <w:sz w:val="28"/>
          <w:szCs w:val="28"/>
        </w:rPr>
        <w:t>.</w:t>
      </w:r>
      <w:r w:rsidRPr="00C371D2">
        <w:rPr>
          <w:iCs/>
          <w:color w:val="auto"/>
          <w:sz w:val="28"/>
          <w:szCs w:val="28"/>
        </w:rPr>
        <w:t xml:space="preserve"> </w:t>
      </w:r>
    </w:p>
    <w:p w:rsidR="004E6244" w:rsidRPr="00C371D2" w:rsidRDefault="0024584A" w:rsidP="004E6244">
      <w:pPr>
        <w:pStyle w:val="Default"/>
        <w:ind w:firstLine="708"/>
        <w:jc w:val="both"/>
        <w:rPr>
          <w:color w:val="auto"/>
          <w:sz w:val="28"/>
          <w:szCs w:val="28"/>
        </w:rPr>
      </w:pPr>
      <w:r w:rsidRPr="00C371D2">
        <w:rPr>
          <w:b/>
          <w:color w:val="auto"/>
          <w:sz w:val="28"/>
          <w:szCs w:val="28"/>
        </w:rPr>
        <w:t xml:space="preserve">8. Информация о поставщике: </w:t>
      </w:r>
      <w:r w:rsidR="004E6244" w:rsidRPr="00C371D2">
        <w:rPr>
          <w:color w:val="auto"/>
          <w:sz w:val="28"/>
          <w:szCs w:val="28"/>
        </w:rPr>
        <w:t>Лондонская Фондовая Биржа</w:t>
      </w:r>
    </w:p>
    <w:p w:rsidR="00581E41" w:rsidRPr="00C371D2" w:rsidRDefault="00A7585B" w:rsidP="004E6244">
      <w:pPr>
        <w:pStyle w:val="Default"/>
        <w:ind w:firstLine="708"/>
        <w:jc w:val="both"/>
        <w:rPr>
          <w:b/>
          <w:iCs/>
          <w:color w:val="auto"/>
          <w:sz w:val="28"/>
          <w:szCs w:val="28"/>
        </w:rPr>
      </w:pPr>
      <w:r w:rsidRPr="00C371D2">
        <w:rPr>
          <w:color w:val="auto"/>
          <w:sz w:val="28"/>
          <w:szCs w:val="28"/>
        </w:rPr>
        <w:t>(</w:t>
      </w:r>
      <w:r w:rsidRPr="00C371D2">
        <w:rPr>
          <w:color w:val="auto"/>
          <w:sz w:val="28"/>
          <w:szCs w:val="28"/>
          <w:lang w:val="en-US"/>
        </w:rPr>
        <w:t>The</w:t>
      </w:r>
      <w:r w:rsidRPr="00C371D2">
        <w:rPr>
          <w:color w:val="auto"/>
          <w:sz w:val="28"/>
          <w:szCs w:val="28"/>
        </w:rPr>
        <w:t xml:space="preserve"> </w:t>
      </w:r>
      <w:r w:rsidR="00581E41" w:rsidRPr="00C371D2">
        <w:rPr>
          <w:color w:val="auto"/>
          <w:sz w:val="28"/>
          <w:szCs w:val="28"/>
          <w:lang w:val="en-US"/>
        </w:rPr>
        <w:t>London</w:t>
      </w:r>
      <w:r w:rsidR="00581E41" w:rsidRPr="00C371D2">
        <w:rPr>
          <w:color w:val="auto"/>
          <w:sz w:val="28"/>
          <w:szCs w:val="28"/>
        </w:rPr>
        <w:t xml:space="preserve"> </w:t>
      </w:r>
      <w:r w:rsidR="00581E41" w:rsidRPr="00C371D2">
        <w:rPr>
          <w:color w:val="auto"/>
          <w:sz w:val="28"/>
          <w:szCs w:val="28"/>
          <w:lang w:val="en-US"/>
        </w:rPr>
        <w:t>Stock</w:t>
      </w:r>
      <w:r w:rsidR="00581E41" w:rsidRPr="00C371D2">
        <w:rPr>
          <w:color w:val="auto"/>
          <w:sz w:val="28"/>
          <w:szCs w:val="28"/>
        </w:rPr>
        <w:t xml:space="preserve"> </w:t>
      </w:r>
      <w:r w:rsidR="00581E41" w:rsidRPr="00C371D2">
        <w:rPr>
          <w:color w:val="auto"/>
          <w:sz w:val="28"/>
          <w:szCs w:val="28"/>
          <w:lang w:val="en-US"/>
        </w:rPr>
        <w:t>Exchange</w:t>
      </w:r>
      <w:r w:rsidRPr="00C371D2">
        <w:rPr>
          <w:color w:val="auto"/>
          <w:sz w:val="28"/>
          <w:szCs w:val="28"/>
        </w:rPr>
        <w:t>)</w:t>
      </w:r>
    </w:p>
    <w:p w:rsidR="004E6244" w:rsidRPr="00C371D2" w:rsidRDefault="004E6244" w:rsidP="004E6244">
      <w:pPr>
        <w:jc w:val="both"/>
        <w:rPr>
          <w:szCs w:val="28"/>
        </w:rPr>
      </w:pPr>
      <w:r w:rsidRPr="00C371D2">
        <w:rPr>
          <w:szCs w:val="28"/>
        </w:rPr>
        <w:t>Место нахождения: Лондон, Великобритания;</w:t>
      </w:r>
    </w:p>
    <w:p w:rsidR="004E6244" w:rsidRPr="00C371D2" w:rsidRDefault="004E6244" w:rsidP="004E6244">
      <w:pPr>
        <w:jc w:val="both"/>
        <w:rPr>
          <w:szCs w:val="28"/>
          <w:lang w:val="en-US"/>
        </w:rPr>
      </w:pPr>
      <w:r w:rsidRPr="00C371D2">
        <w:rPr>
          <w:szCs w:val="28"/>
        </w:rPr>
        <w:t>Почтовый</w:t>
      </w:r>
      <w:r w:rsidRPr="00C371D2">
        <w:rPr>
          <w:szCs w:val="28"/>
          <w:lang w:val="en-US"/>
        </w:rPr>
        <w:t xml:space="preserve"> </w:t>
      </w:r>
      <w:r w:rsidRPr="00C371D2">
        <w:rPr>
          <w:szCs w:val="28"/>
        </w:rPr>
        <w:t>адрес</w:t>
      </w:r>
      <w:r w:rsidRPr="00C371D2">
        <w:rPr>
          <w:szCs w:val="28"/>
          <w:lang w:val="en-US"/>
        </w:rPr>
        <w:t xml:space="preserve">: 10 </w:t>
      </w:r>
      <w:r w:rsidRPr="00C371D2">
        <w:rPr>
          <w:szCs w:val="28"/>
          <w:lang w:val="en-GB"/>
        </w:rPr>
        <w:t>Paternoster</w:t>
      </w:r>
      <w:r w:rsidRPr="00C371D2">
        <w:rPr>
          <w:szCs w:val="28"/>
          <w:lang w:val="en-US"/>
        </w:rPr>
        <w:t xml:space="preserve"> </w:t>
      </w:r>
      <w:r w:rsidRPr="00C371D2">
        <w:rPr>
          <w:szCs w:val="28"/>
          <w:lang w:val="en-GB"/>
        </w:rPr>
        <w:t>Square</w:t>
      </w:r>
      <w:r w:rsidRPr="00C371D2">
        <w:rPr>
          <w:szCs w:val="28"/>
          <w:lang w:val="en-US"/>
        </w:rPr>
        <w:t xml:space="preserve">, </w:t>
      </w:r>
      <w:r w:rsidRPr="00C371D2">
        <w:rPr>
          <w:szCs w:val="28"/>
          <w:lang w:val="en-GB"/>
        </w:rPr>
        <w:t>London</w:t>
      </w:r>
      <w:r w:rsidRPr="00C371D2">
        <w:rPr>
          <w:szCs w:val="28"/>
          <w:lang w:val="en-US"/>
        </w:rPr>
        <w:t xml:space="preserve"> </w:t>
      </w:r>
      <w:r w:rsidRPr="00C371D2">
        <w:rPr>
          <w:szCs w:val="28"/>
          <w:lang w:val="en-GB"/>
        </w:rPr>
        <w:t>ECRM</w:t>
      </w:r>
      <w:r w:rsidRPr="00C371D2">
        <w:rPr>
          <w:szCs w:val="28"/>
          <w:lang w:val="en-US"/>
        </w:rPr>
        <w:t xml:space="preserve"> 7</w:t>
      </w:r>
      <w:r w:rsidRPr="00C371D2">
        <w:rPr>
          <w:szCs w:val="28"/>
          <w:lang w:val="en-GB"/>
        </w:rPr>
        <w:t>LS</w:t>
      </w:r>
      <w:r w:rsidRPr="00C371D2">
        <w:rPr>
          <w:szCs w:val="28"/>
          <w:lang w:val="en-US"/>
        </w:rPr>
        <w:t>;</w:t>
      </w:r>
    </w:p>
    <w:p w:rsidR="004E6244" w:rsidRPr="00C371D2" w:rsidRDefault="004E6244" w:rsidP="004E6244">
      <w:pPr>
        <w:pStyle w:val="Default"/>
        <w:ind w:firstLine="708"/>
        <w:jc w:val="both"/>
        <w:rPr>
          <w:snapToGrid w:val="0"/>
          <w:sz w:val="28"/>
          <w:szCs w:val="28"/>
        </w:rPr>
      </w:pPr>
      <w:r w:rsidRPr="00C371D2">
        <w:rPr>
          <w:sz w:val="28"/>
          <w:szCs w:val="28"/>
        </w:rPr>
        <w:t xml:space="preserve">Представитель Поставщика – Максим Кондратюк, тел.: +44-20-7797-4305, адрес электронной почты: </w:t>
      </w:r>
      <w:hyperlink r:id="rId12" w:history="1">
        <w:r w:rsidRPr="00C371D2">
          <w:rPr>
            <w:snapToGrid w:val="0"/>
            <w:sz w:val="28"/>
            <w:szCs w:val="28"/>
            <w:lang w:val="en-GB"/>
          </w:rPr>
          <w:t>MKondratjuks</w:t>
        </w:r>
        <w:r w:rsidRPr="00C371D2">
          <w:rPr>
            <w:snapToGrid w:val="0"/>
            <w:sz w:val="28"/>
            <w:szCs w:val="28"/>
          </w:rPr>
          <w:t>@</w:t>
        </w:r>
        <w:r w:rsidRPr="00C371D2">
          <w:rPr>
            <w:snapToGrid w:val="0"/>
            <w:sz w:val="28"/>
            <w:szCs w:val="28"/>
            <w:lang w:val="en-GB"/>
          </w:rPr>
          <w:t>londonstockexchange</w:t>
        </w:r>
        <w:r w:rsidRPr="00C371D2">
          <w:rPr>
            <w:snapToGrid w:val="0"/>
            <w:sz w:val="28"/>
            <w:szCs w:val="28"/>
          </w:rPr>
          <w:t>.</w:t>
        </w:r>
        <w:r w:rsidRPr="00C371D2">
          <w:rPr>
            <w:snapToGrid w:val="0"/>
            <w:sz w:val="28"/>
            <w:szCs w:val="28"/>
            <w:lang w:val="en-GB"/>
          </w:rPr>
          <w:t>com</w:t>
        </w:r>
      </w:hyperlink>
    </w:p>
    <w:p w:rsidR="0024584A" w:rsidRPr="00C371D2" w:rsidRDefault="0024584A" w:rsidP="004E6244">
      <w:pPr>
        <w:jc w:val="both"/>
        <w:rPr>
          <w:szCs w:val="28"/>
        </w:rPr>
      </w:pPr>
      <w:r w:rsidRPr="00C371D2">
        <w:rPr>
          <w:b/>
          <w:szCs w:val="28"/>
        </w:rPr>
        <w:t>9. Требования к</w:t>
      </w:r>
      <w:r w:rsidR="004E6244" w:rsidRPr="00C371D2">
        <w:rPr>
          <w:b/>
          <w:szCs w:val="28"/>
        </w:rPr>
        <w:t xml:space="preserve"> услугам:</w:t>
      </w:r>
      <w:r w:rsidR="004E6244" w:rsidRPr="00C371D2">
        <w:rPr>
          <w:szCs w:val="28"/>
        </w:rPr>
        <w:t xml:space="preserve"> услуги Лондонской Фондовой Биржи должны соответствовать Стандартами Допуска и Раскрытия Информации Лондонской Фондовой Биржи.</w:t>
      </w:r>
    </w:p>
    <w:p w:rsidR="0024584A" w:rsidRPr="00C371D2" w:rsidRDefault="0024584A" w:rsidP="0024584A">
      <w:pPr>
        <w:jc w:val="both"/>
      </w:pPr>
    </w:p>
    <w:p w:rsidR="006943A3" w:rsidRDefault="006943A3" w:rsidP="00056C40">
      <w:pPr>
        <w:ind w:firstLine="0"/>
        <w:jc w:val="both"/>
      </w:pPr>
    </w:p>
    <w:sectPr w:rsidR="006943A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AB" w:rsidRDefault="001B23AB" w:rsidP="00CB1C18">
      <w:r>
        <w:separator/>
      </w:r>
    </w:p>
  </w:endnote>
  <w:endnote w:type="continuationSeparator" w:id="1">
    <w:p w:rsidR="001B23AB" w:rsidRDefault="001B23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AB" w:rsidRDefault="001B23AB" w:rsidP="00CB1C18">
      <w:r>
        <w:separator/>
      </w:r>
    </w:p>
  </w:footnote>
  <w:footnote w:type="continuationSeparator" w:id="1">
    <w:p w:rsidR="001B23AB" w:rsidRDefault="001B23A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4CDE"/>
    <w:rsid w:val="00026B5E"/>
    <w:rsid w:val="00056C40"/>
    <w:rsid w:val="00063509"/>
    <w:rsid w:val="00071C18"/>
    <w:rsid w:val="00072C73"/>
    <w:rsid w:val="0007677F"/>
    <w:rsid w:val="000777AB"/>
    <w:rsid w:val="000813F6"/>
    <w:rsid w:val="00082F94"/>
    <w:rsid w:val="00084180"/>
    <w:rsid w:val="00085F72"/>
    <w:rsid w:val="000A60A3"/>
    <w:rsid w:val="000A799D"/>
    <w:rsid w:val="000B40C3"/>
    <w:rsid w:val="000C5FD9"/>
    <w:rsid w:val="000D3430"/>
    <w:rsid w:val="000E6306"/>
    <w:rsid w:val="000E77C3"/>
    <w:rsid w:val="000F2F19"/>
    <w:rsid w:val="00107B80"/>
    <w:rsid w:val="00117473"/>
    <w:rsid w:val="001212C5"/>
    <w:rsid w:val="00121857"/>
    <w:rsid w:val="00126BBB"/>
    <w:rsid w:val="00132AFA"/>
    <w:rsid w:val="00133CFF"/>
    <w:rsid w:val="0014455A"/>
    <w:rsid w:val="001475DB"/>
    <w:rsid w:val="00152424"/>
    <w:rsid w:val="00177D91"/>
    <w:rsid w:val="0018170C"/>
    <w:rsid w:val="001B0FDE"/>
    <w:rsid w:val="001B23AB"/>
    <w:rsid w:val="001C01D6"/>
    <w:rsid w:val="001C05F5"/>
    <w:rsid w:val="001C41BB"/>
    <w:rsid w:val="001D3EAA"/>
    <w:rsid w:val="001F0B3B"/>
    <w:rsid w:val="001F4F2E"/>
    <w:rsid w:val="001F52B9"/>
    <w:rsid w:val="00204B07"/>
    <w:rsid w:val="0020709B"/>
    <w:rsid w:val="00223EC3"/>
    <w:rsid w:val="002350DE"/>
    <w:rsid w:val="00237F23"/>
    <w:rsid w:val="00243BB2"/>
    <w:rsid w:val="00245141"/>
    <w:rsid w:val="0024584A"/>
    <w:rsid w:val="002556CE"/>
    <w:rsid w:val="0026332C"/>
    <w:rsid w:val="002636BF"/>
    <w:rsid w:val="00263AA5"/>
    <w:rsid w:val="0028492E"/>
    <w:rsid w:val="00296517"/>
    <w:rsid w:val="002A7D8B"/>
    <w:rsid w:val="002B7B7B"/>
    <w:rsid w:val="002C536B"/>
    <w:rsid w:val="002E11EB"/>
    <w:rsid w:val="002E21F4"/>
    <w:rsid w:val="002E2B59"/>
    <w:rsid w:val="002E5A39"/>
    <w:rsid w:val="002F00CA"/>
    <w:rsid w:val="002F0230"/>
    <w:rsid w:val="00302FAA"/>
    <w:rsid w:val="003038BF"/>
    <w:rsid w:val="0032153B"/>
    <w:rsid w:val="003248F4"/>
    <w:rsid w:val="00333D77"/>
    <w:rsid w:val="00335386"/>
    <w:rsid w:val="003516CC"/>
    <w:rsid w:val="0036366B"/>
    <w:rsid w:val="00381D20"/>
    <w:rsid w:val="00390C80"/>
    <w:rsid w:val="00391587"/>
    <w:rsid w:val="003927D3"/>
    <w:rsid w:val="003C7469"/>
    <w:rsid w:val="003D0AA6"/>
    <w:rsid w:val="003D1E43"/>
    <w:rsid w:val="003D239A"/>
    <w:rsid w:val="003E13B8"/>
    <w:rsid w:val="003E1D49"/>
    <w:rsid w:val="003E56FD"/>
    <w:rsid w:val="003E7E1D"/>
    <w:rsid w:val="003F4415"/>
    <w:rsid w:val="0041301F"/>
    <w:rsid w:val="00427B60"/>
    <w:rsid w:val="0044002D"/>
    <w:rsid w:val="00461B6B"/>
    <w:rsid w:val="00482157"/>
    <w:rsid w:val="00483D8D"/>
    <w:rsid w:val="0049189D"/>
    <w:rsid w:val="004B3332"/>
    <w:rsid w:val="004B7489"/>
    <w:rsid w:val="004C3E28"/>
    <w:rsid w:val="004C63EA"/>
    <w:rsid w:val="004D18EC"/>
    <w:rsid w:val="004D4FB7"/>
    <w:rsid w:val="004E09D6"/>
    <w:rsid w:val="004E6244"/>
    <w:rsid w:val="004E7660"/>
    <w:rsid w:val="00500D9B"/>
    <w:rsid w:val="00510572"/>
    <w:rsid w:val="00526967"/>
    <w:rsid w:val="00531303"/>
    <w:rsid w:val="00542DB9"/>
    <w:rsid w:val="00564686"/>
    <w:rsid w:val="00565E96"/>
    <w:rsid w:val="00581E41"/>
    <w:rsid w:val="00583AE4"/>
    <w:rsid w:val="005941EF"/>
    <w:rsid w:val="005A69AB"/>
    <w:rsid w:val="005C680F"/>
    <w:rsid w:val="005E0384"/>
    <w:rsid w:val="006072F9"/>
    <w:rsid w:val="00607556"/>
    <w:rsid w:val="006117F1"/>
    <w:rsid w:val="00621590"/>
    <w:rsid w:val="006323ED"/>
    <w:rsid w:val="00650236"/>
    <w:rsid w:val="006527AA"/>
    <w:rsid w:val="0065729B"/>
    <w:rsid w:val="0065731F"/>
    <w:rsid w:val="0066021C"/>
    <w:rsid w:val="00661273"/>
    <w:rsid w:val="006713BF"/>
    <w:rsid w:val="00684FEC"/>
    <w:rsid w:val="00685B72"/>
    <w:rsid w:val="00692A07"/>
    <w:rsid w:val="006943A3"/>
    <w:rsid w:val="006A71C9"/>
    <w:rsid w:val="006B32C7"/>
    <w:rsid w:val="006B6081"/>
    <w:rsid w:val="006C610D"/>
    <w:rsid w:val="006C6424"/>
    <w:rsid w:val="006E0FA2"/>
    <w:rsid w:val="007022A0"/>
    <w:rsid w:val="00706492"/>
    <w:rsid w:val="007115C8"/>
    <w:rsid w:val="0071472A"/>
    <w:rsid w:val="007203E7"/>
    <w:rsid w:val="00720B00"/>
    <w:rsid w:val="00724EED"/>
    <w:rsid w:val="00741D61"/>
    <w:rsid w:val="007442D3"/>
    <w:rsid w:val="0075014E"/>
    <w:rsid w:val="00752FA3"/>
    <w:rsid w:val="00753C09"/>
    <w:rsid w:val="00795795"/>
    <w:rsid w:val="007A053B"/>
    <w:rsid w:val="007B4A2D"/>
    <w:rsid w:val="007D6F31"/>
    <w:rsid w:val="007F1D3E"/>
    <w:rsid w:val="007F5506"/>
    <w:rsid w:val="008128DB"/>
    <w:rsid w:val="00824610"/>
    <w:rsid w:val="00831584"/>
    <w:rsid w:val="00845775"/>
    <w:rsid w:val="00852B23"/>
    <w:rsid w:val="008547B8"/>
    <w:rsid w:val="0086483E"/>
    <w:rsid w:val="008758D8"/>
    <w:rsid w:val="0088075E"/>
    <w:rsid w:val="00881317"/>
    <w:rsid w:val="00884629"/>
    <w:rsid w:val="0089482D"/>
    <w:rsid w:val="008A767E"/>
    <w:rsid w:val="008B29D7"/>
    <w:rsid w:val="008D074D"/>
    <w:rsid w:val="008D40A8"/>
    <w:rsid w:val="008E0CEC"/>
    <w:rsid w:val="008E1656"/>
    <w:rsid w:val="008E31C6"/>
    <w:rsid w:val="008F0A98"/>
    <w:rsid w:val="0090198A"/>
    <w:rsid w:val="00910BE4"/>
    <w:rsid w:val="00912AF4"/>
    <w:rsid w:val="00915DBD"/>
    <w:rsid w:val="009201ED"/>
    <w:rsid w:val="0092627C"/>
    <w:rsid w:val="0093062F"/>
    <w:rsid w:val="0093440D"/>
    <w:rsid w:val="009402FD"/>
    <w:rsid w:val="00943124"/>
    <w:rsid w:val="00946926"/>
    <w:rsid w:val="009662B7"/>
    <w:rsid w:val="00966BF5"/>
    <w:rsid w:val="00994F52"/>
    <w:rsid w:val="009B6FDE"/>
    <w:rsid w:val="009C16C0"/>
    <w:rsid w:val="009C4A5D"/>
    <w:rsid w:val="009D183B"/>
    <w:rsid w:val="009D7D4D"/>
    <w:rsid w:val="009F2FCC"/>
    <w:rsid w:val="009F36EA"/>
    <w:rsid w:val="009F3AE5"/>
    <w:rsid w:val="009F7C5A"/>
    <w:rsid w:val="00A017DE"/>
    <w:rsid w:val="00A038AE"/>
    <w:rsid w:val="00A042DE"/>
    <w:rsid w:val="00A1512F"/>
    <w:rsid w:val="00A20EC2"/>
    <w:rsid w:val="00A232F1"/>
    <w:rsid w:val="00A31BA8"/>
    <w:rsid w:val="00A335BC"/>
    <w:rsid w:val="00A35895"/>
    <w:rsid w:val="00A67341"/>
    <w:rsid w:val="00A716A3"/>
    <w:rsid w:val="00A7517C"/>
    <w:rsid w:val="00A7585B"/>
    <w:rsid w:val="00A767DE"/>
    <w:rsid w:val="00A77778"/>
    <w:rsid w:val="00A91ABA"/>
    <w:rsid w:val="00AA34B6"/>
    <w:rsid w:val="00AA36AF"/>
    <w:rsid w:val="00AA5AFF"/>
    <w:rsid w:val="00AA79FA"/>
    <w:rsid w:val="00AA7EFD"/>
    <w:rsid w:val="00AC57C2"/>
    <w:rsid w:val="00AC799F"/>
    <w:rsid w:val="00AD69FC"/>
    <w:rsid w:val="00AE5D96"/>
    <w:rsid w:val="00AF2B52"/>
    <w:rsid w:val="00AF3E8A"/>
    <w:rsid w:val="00AF4708"/>
    <w:rsid w:val="00B100B3"/>
    <w:rsid w:val="00B13BCA"/>
    <w:rsid w:val="00B20DF0"/>
    <w:rsid w:val="00B21959"/>
    <w:rsid w:val="00B3207D"/>
    <w:rsid w:val="00B348FD"/>
    <w:rsid w:val="00B44A59"/>
    <w:rsid w:val="00B81AC6"/>
    <w:rsid w:val="00B8653B"/>
    <w:rsid w:val="00BB7300"/>
    <w:rsid w:val="00BD06F5"/>
    <w:rsid w:val="00BD3223"/>
    <w:rsid w:val="00BD6739"/>
    <w:rsid w:val="00BE4FBE"/>
    <w:rsid w:val="00BE7F31"/>
    <w:rsid w:val="00BF2940"/>
    <w:rsid w:val="00BF351A"/>
    <w:rsid w:val="00C0686E"/>
    <w:rsid w:val="00C16AAC"/>
    <w:rsid w:val="00C2562C"/>
    <w:rsid w:val="00C371D2"/>
    <w:rsid w:val="00C40A83"/>
    <w:rsid w:val="00C42E53"/>
    <w:rsid w:val="00C623E6"/>
    <w:rsid w:val="00C67871"/>
    <w:rsid w:val="00C710BB"/>
    <w:rsid w:val="00C73A6B"/>
    <w:rsid w:val="00C73DDA"/>
    <w:rsid w:val="00C86D10"/>
    <w:rsid w:val="00CB1C18"/>
    <w:rsid w:val="00CD5577"/>
    <w:rsid w:val="00CD7A9A"/>
    <w:rsid w:val="00CE09CD"/>
    <w:rsid w:val="00D0636A"/>
    <w:rsid w:val="00D21C01"/>
    <w:rsid w:val="00D2725C"/>
    <w:rsid w:val="00D32B13"/>
    <w:rsid w:val="00D32F01"/>
    <w:rsid w:val="00D35556"/>
    <w:rsid w:val="00D40099"/>
    <w:rsid w:val="00D51AF4"/>
    <w:rsid w:val="00D70D67"/>
    <w:rsid w:val="00D84F35"/>
    <w:rsid w:val="00D9562C"/>
    <w:rsid w:val="00D979C6"/>
    <w:rsid w:val="00DB11D3"/>
    <w:rsid w:val="00DE5F8C"/>
    <w:rsid w:val="00E16968"/>
    <w:rsid w:val="00E22CF6"/>
    <w:rsid w:val="00E26F81"/>
    <w:rsid w:val="00E35CDC"/>
    <w:rsid w:val="00E5065E"/>
    <w:rsid w:val="00E50CBA"/>
    <w:rsid w:val="00E53C38"/>
    <w:rsid w:val="00E7093B"/>
    <w:rsid w:val="00E73E7A"/>
    <w:rsid w:val="00E87D4E"/>
    <w:rsid w:val="00E905FB"/>
    <w:rsid w:val="00E93B44"/>
    <w:rsid w:val="00E957DE"/>
    <w:rsid w:val="00EB455A"/>
    <w:rsid w:val="00EB5105"/>
    <w:rsid w:val="00ED1117"/>
    <w:rsid w:val="00ED1B2D"/>
    <w:rsid w:val="00ED60FD"/>
    <w:rsid w:val="00EE26A2"/>
    <w:rsid w:val="00F02C27"/>
    <w:rsid w:val="00F04EF5"/>
    <w:rsid w:val="00F12F5B"/>
    <w:rsid w:val="00F25640"/>
    <w:rsid w:val="00F33116"/>
    <w:rsid w:val="00F3417A"/>
    <w:rsid w:val="00F532A7"/>
    <w:rsid w:val="00F6476F"/>
    <w:rsid w:val="00F72DD1"/>
    <w:rsid w:val="00F749D9"/>
    <w:rsid w:val="00F752D3"/>
    <w:rsid w:val="00F776E4"/>
    <w:rsid w:val="00F84DA0"/>
    <w:rsid w:val="00F85B8D"/>
    <w:rsid w:val="00F91597"/>
    <w:rsid w:val="00F94074"/>
    <w:rsid w:val="00F9545A"/>
    <w:rsid w:val="00FA2D3E"/>
    <w:rsid w:val="00FE3EB4"/>
    <w:rsid w:val="00FE423B"/>
    <w:rsid w:val="00FE777D"/>
    <w:rsid w:val="00FF7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912AF4"/>
    <w:rPr>
      <w:sz w:val="16"/>
      <w:szCs w:val="16"/>
    </w:rPr>
  </w:style>
  <w:style w:type="paragraph" w:styleId="ae">
    <w:name w:val="annotation text"/>
    <w:basedOn w:val="a"/>
    <w:link w:val="af"/>
    <w:uiPriority w:val="99"/>
    <w:semiHidden/>
    <w:unhideWhenUsed/>
    <w:rsid w:val="00912AF4"/>
    <w:rPr>
      <w:sz w:val="20"/>
    </w:rPr>
  </w:style>
  <w:style w:type="character" w:customStyle="1" w:styleId="af">
    <w:name w:val="Текст примечания Знак"/>
    <w:basedOn w:val="a0"/>
    <w:link w:val="ae"/>
    <w:uiPriority w:val="99"/>
    <w:semiHidden/>
    <w:rsid w:val="00912AF4"/>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12AF4"/>
    <w:rPr>
      <w:b/>
      <w:bCs/>
    </w:rPr>
  </w:style>
  <w:style w:type="character" w:customStyle="1" w:styleId="af1">
    <w:name w:val="Тема примечания Знак"/>
    <w:basedOn w:val="af"/>
    <w:link w:val="af0"/>
    <w:uiPriority w:val="99"/>
    <w:semiHidden/>
    <w:rsid w:val="00912AF4"/>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Kondratjuks@londonstockexchan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6FA69-1346-4CC5-AC23-20487C13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Ольга Вячеславовна;Хвастов Иван Валентинович (KhvastovIV@trcont.ru)</dc:creator>
  <cp:lastModifiedBy>Лучезарный</cp:lastModifiedBy>
  <cp:revision>13</cp:revision>
  <cp:lastPrinted>2014-03-17T14:42:00Z</cp:lastPrinted>
  <dcterms:created xsi:type="dcterms:W3CDTF">2014-03-17T14:46:00Z</dcterms:created>
  <dcterms:modified xsi:type="dcterms:W3CDTF">2014-04-07T14:38:00Z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