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710" w:rsidRDefault="009E691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ОКэ-НКПОКТ-18-0025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DD3710" w:rsidRDefault="009E691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w:t>
      </w:r>
      <w:proofErr w:type="gramStart"/>
      <w:r>
        <w:t>е</w:t>
      </w:r>
      <w:bookmarkStart w:id="10" w:name="_GoBack"/>
      <w:bookmarkEnd w:id="10"/>
      <w:r>
        <w:t>(</w:t>
      </w:r>
      <w:proofErr w:type="gramEnd"/>
      <w:r>
        <w:t xml:space="preserve">далее – Заказчик), руководствуясь положениями Федерального закона от 18 июля 2011 г. </w:t>
      </w:r>
      <w:r w:rsidR="009565CC">
        <w:br/>
      </w:r>
      <w:r>
        <w:t>№ 223-ФЗ «О закупках товаров, работ, услуг отдельными видами юридических лиц» и Положением о порядке закупки товаров, работ, услуг для нужд ПАО</w:t>
      </w:r>
      <w:r w:rsidR="009565CC">
        <w:t> </w:t>
      </w:r>
      <w:r>
        <w:t xml:space="preserve">«ТрансКонтейнер», </w:t>
      </w:r>
      <w:r>
        <w:rPr>
          <w:snapToGrid w:val="0"/>
          <w:szCs w:val="20"/>
        </w:rPr>
        <w:t>утвержденным</w:t>
      </w:r>
      <w:r w:rsidR="009565CC">
        <w:rPr>
          <w:snapToGrid w:val="0"/>
          <w:szCs w:val="20"/>
        </w:rPr>
        <w:t xml:space="preserve"> решением совета директоров ПАО </w:t>
      </w:r>
      <w:r>
        <w:rPr>
          <w:snapToGrid w:val="0"/>
          <w:szCs w:val="20"/>
        </w:rPr>
        <w:t xml:space="preserve">«ТрансКонтейнер»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DD3710" w:rsidRDefault="009E691D">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ОКэ-НКПО</w:t>
      </w:r>
      <w:r w:rsidR="009565CC">
        <w:t>КТ-18-0025 по предмету закупки «</w:t>
      </w:r>
      <w:r>
        <w:t>Выполнение работ по уборке снега с</w:t>
      </w:r>
      <w:r>
        <w:t xml:space="preserve"> территории, очистке крыш от снега, наледи, сосулек, противогололёдной обработке </w:t>
      </w:r>
      <w:proofErr w:type="gramStart"/>
      <w:r>
        <w:t>территории участка р</w:t>
      </w:r>
      <w:r w:rsidR="009565CC">
        <w:t>емонта контейнеров филиала</w:t>
      </w:r>
      <w:proofErr w:type="gramEnd"/>
      <w:r w:rsidR="009565CC">
        <w:t xml:space="preserve"> ПАО «ТрансКонтейнер» на Октябрьской железной дороге</w:t>
      </w:r>
      <w:bookmarkEnd w:id="11"/>
      <w:bookmarkEnd w:id="12"/>
      <w:bookmarkEnd w:id="13"/>
      <w:bookmarkEnd w:id="14"/>
      <w:bookmarkEnd w:id="15"/>
      <w:bookmarkEnd w:id="16"/>
      <w:bookmarkEnd w:id="17"/>
      <w:bookmarkEnd w:id="18"/>
      <w:bookmarkEnd w:id="19"/>
      <w:r w:rsidR="009565CC">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D3710" w:rsidRDefault="009E691D">
      <w:pPr>
        <w:jc w:val="both"/>
      </w:pPr>
      <w:r>
        <w:t xml:space="preserve">Почтовый адрес Заказчика: </w:t>
      </w:r>
      <w:r w:rsidR="00802972" w:rsidRPr="00061265">
        <w:rPr>
          <w:szCs w:val="28"/>
        </w:rPr>
        <w:t>Российская Федерация, 192007, г. Санкт-Петербу</w:t>
      </w:r>
      <w:r w:rsidR="00802972">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02972" w:rsidRDefault="009E691D" w:rsidP="00802972">
      <w:pPr>
        <w:jc w:val="both"/>
      </w:pPr>
      <w:r>
        <w:t>Ф</w:t>
      </w:r>
      <w:r w:rsidR="00802972" w:rsidRPr="00802972">
        <w:t xml:space="preserve"> </w:t>
      </w:r>
      <w:r w:rsidR="00802972">
        <w:t>Ф.И.О.: Степанов Дмитрий Владимирович</w:t>
      </w:r>
    </w:p>
    <w:p w:rsidR="00802972" w:rsidRDefault="00802972" w:rsidP="00802972">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CB1C18" w:rsidRDefault="00802972" w:rsidP="00802972">
      <w:pPr>
        <w:jc w:val="both"/>
      </w:pPr>
      <w:r>
        <w:t>Телефон: +7 (812) 458-91-15 (</w:t>
      </w:r>
      <w:proofErr w:type="spellStart"/>
      <w:r>
        <w:t>доб</w:t>
      </w:r>
      <w:proofErr w:type="spellEnd"/>
      <w:r>
        <w:t>. 3055).</w:t>
      </w:r>
    </w:p>
    <w:p w:rsidR="00802972" w:rsidRDefault="00802972" w:rsidP="00802972">
      <w:pPr>
        <w:jc w:val="both"/>
      </w:pPr>
    </w:p>
    <w:p w:rsidR="00DD3710" w:rsidRDefault="009E691D">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DD3710" w:rsidRDefault="00802972">
      <w:pPr>
        <w:pStyle w:val="1"/>
        <w:ind w:firstLine="708"/>
        <w:rPr>
          <w:szCs w:val="28"/>
        </w:rPr>
      </w:pPr>
      <w:r>
        <w:rPr>
          <w:szCs w:val="28"/>
        </w:rPr>
        <w:t>п</w:t>
      </w:r>
      <w:r w:rsidR="009E691D">
        <w:rPr>
          <w:szCs w:val="28"/>
        </w:rPr>
        <w:t xml:space="preserve">остоянная рабочая группа </w:t>
      </w:r>
      <w:r>
        <w:rPr>
          <w:szCs w:val="28"/>
        </w:rPr>
        <w:t>Конкурсной комиссии филиала ПАО </w:t>
      </w:r>
      <w:r w:rsidR="009E691D">
        <w:rPr>
          <w:szCs w:val="28"/>
        </w:rPr>
        <w:t xml:space="preserve">«ТрансКонтейнер» на </w:t>
      </w:r>
      <w:r w:rsidR="009E691D">
        <w:t>Октябрьской железной дороге.</w:t>
      </w:r>
    </w:p>
    <w:p w:rsidR="00DD3710" w:rsidRDefault="009E691D">
      <w:pPr>
        <w:pStyle w:val="1"/>
        <w:ind w:firstLine="0"/>
        <w:rPr>
          <w:szCs w:val="28"/>
        </w:rPr>
      </w:pPr>
      <w:r>
        <w:rPr>
          <w:szCs w:val="28"/>
        </w:rPr>
        <w:t xml:space="preserve">Адрес: Российская Федерация, 191002, г. </w:t>
      </w:r>
      <w:r>
        <w:rPr>
          <w:szCs w:val="28"/>
        </w:rPr>
        <w:t>Санкт-Петерб</w:t>
      </w:r>
      <w:r w:rsidR="00802972">
        <w:rPr>
          <w:szCs w:val="28"/>
        </w:rPr>
        <w:t>ург, Владимирский пр., д. 23.</w:t>
      </w:r>
    </w:p>
    <w:p w:rsidR="00DD3710" w:rsidRDefault="00DD3710">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DD3710" w:rsidRDefault="009E691D">
      <w:pPr>
        <w:jc w:val="both"/>
        <w:rPr>
          <w:szCs w:val="28"/>
        </w:rPr>
      </w:pPr>
      <w:r>
        <w:rPr>
          <w:szCs w:val="28"/>
        </w:rPr>
        <w:t xml:space="preserve">Выполнение работ по уборке снега с территории, очистке крыш от снега, наледи, сосулек, противогололёдной обработке </w:t>
      </w:r>
      <w:proofErr w:type="gramStart"/>
      <w:r>
        <w:rPr>
          <w:szCs w:val="28"/>
        </w:rPr>
        <w:t>территории участка ремонта контейнеров филиала</w:t>
      </w:r>
      <w:proofErr w:type="gramEnd"/>
      <w:r>
        <w:rPr>
          <w:szCs w:val="28"/>
        </w:rPr>
        <w:t xml:space="preserve"> ПА</w:t>
      </w:r>
      <w:r w:rsidR="00802972">
        <w:rPr>
          <w:szCs w:val="28"/>
        </w:rPr>
        <w:t>О «ТрансКонтейнер»</w:t>
      </w:r>
      <w:r>
        <w:rPr>
          <w:szCs w:val="28"/>
        </w:rPr>
        <w:t xml:space="preserve"> на Октябрьской железной дороге.</w:t>
      </w:r>
    </w:p>
    <w:p w:rsidR="00DD3710" w:rsidRDefault="009E691D">
      <w:pPr>
        <w:jc w:val="both"/>
        <w:rPr>
          <w:szCs w:val="28"/>
        </w:rPr>
      </w:pPr>
      <w:r>
        <w:rPr>
          <w:szCs w:val="28"/>
        </w:rPr>
        <w:t>Начальная (максимальная) цена договора: 600</w:t>
      </w:r>
      <w:r w:rsidR="00802972">
        <w:rPr>
          <w:szCs w:val="28"/>
        </w:rPr>
        <w:t> </w:t>
      </w:r>
      <w:r>
        <w:rPr>
          <w:szCs w:val="28"/>
        </w:rPr>
        <w:t xml:space="preserve">000 (шестьсот тысяч) рублей 00 копеек </w:t>
      </w:r>
      <w:r>
        <w:rPr>
          <w:szCs w:val="28"/>
        </w:rPr>
        <w:t xml:space="preserve">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w:t>
      </w:r>
      <w:r>
        <w:rPr>
          <w:szCs w:val="28"/>
        </w:rPr>
        <w:lastRenderedPageBreak/>
        <w:t>о</w:t>
      </w:r>
      <w:r>
        <w:rPr>
          <w:szCs w:val="28"/>
        </w:rPr>
        <w:t>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815"/>
        <w:gridCol w:w="1417"/>
        <w:gridCol w:w="2013"/>
      </w:tblGrid>
      <w:tr w:rsidR="00470014" w:rsidRPr="00BD24C5" w:rsidTr="00E75284">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Классификация по ОКВЭД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E75284">
            <w:pPr>
              <w:snapToGrid w:val="0"/>
              <w:ind w:firstLine="0"/>
              <w:jc w:val="center"/>
              <w:rPr>
                <w:snapToGrid/>
                <w:sz w:val="24"/>
                <w:szCs w:val="24"/>
              </w:rPr>
            </w:pPr>
            <w:r>
              <w:rPr>
                <w:snapToGrid/>
                <w:sz w:val="24"/>
                <w:szCs w:val="24"/>
              </w:rPr>
              <w:t>Дополнительные сведения</w:t>
            </w:r>
          </w:p>
        </w:tc>
      </w:tr>
      <w:tr w:rsidR="00470014" w:rsidRPr="00F26920" w:rsidTr="00E75284">
        <w:tc>
          <w:tcPr>
            <w:tcW w:w="562" w:type="dxa"/>
            <w:tcBorders>
              <w:top w:val="single" w:sz="4" w:space="0" w:color="auto"/>
              <w:left w:val="single" w:sz="4" w:space="0" w:color="auto"/>
              <w:bottom w:val="single" w:sz="4" w:space="0" w:color="auto"/>
              <w:right w:val="single" w:sz="4" w:space="0" w:color="auto"/>
            </w:tcBorders>
            <w:vAlign w:val="center"/>
            <w:hideMark/>
          </w:tcPr>
          <w:p w:rsidR="00DD3710" w:rsidRDefault="009E691D" w:rsidP="00E75284">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DD3710" w:rsidRDefault="009E691D" w:rsidP="00E75284">
            <w:pPr>
              <w:snapToGrid w:val="0"/>
              <w:ind w:firstLine="0"/>
              <w:jc w:val="center"/>
              <w:rPr>
                <w:snapToGrid/>
                <w:sz w:val="24"/>
                <w:szCs w:val="24"/>
                <w:lang w:val="en-US"/>
              </w:rPr>
            </w:pPr>
            <w:r>
              <w:rPr>
                <w:snapToGrid/>
                <w:sz w:val="24"/>
                <w:szCs w:val="24"/>
                <w:lang w:val="en-US"/>
              </w:rPr>
              <w:t>81.29.12.000</w:t>
            </w:r>
          </w:p>
        </w:tc>
        <w:tc>
          <w:tcPr>
            <w:tcW w:w="1984" w:type="dxa"/>
            <w:tcBorders>
              <w:top w:val="single" w:sz="4" w:space="0" w:color="auto"/>
              <w:left w:val="single" w:sz="4" w:space="0" w:color="auto"/>
              <w:bottom w:val="single" w:sz="4" w:space="0" w:color="auto"/>
              <w:right w:val="single" w:sz="4" w:space="0" w:color="auto"/>
            </w:tcBorders>
            <w:vAlign w:val="center"/>
          </w:tcPr>
          <w:p w:rsidR="00DD3710" w:rsidRDefault="009E691D" w:rsidP="00E75284">
            <w:pPr>
              <w:snapToGrid w:val="0"/>
              <w:ind w:firstLine="0"/>
              <w:jc w:val="center"/>
              <w:rPr>
                <w:snapToGrid/>
                <w:sz w:val="24"/>
                <w:szCs w:val="24"/>
              </w:rPr>
            </w:pPr>
            <w:r>
              <w:rPr>
                <w:snapToGrid/>
                <w:sz w:val="24"/>
                <w:szCs w:val="24"/>
                <w:lang w:val="en-US"/>
              </w:rPr>
              <w:t>81.29.2</w:t>
            </w:r>
          </w:p>
        </w:tc>
        <w:tc>
          <w:tcPr>
            <w:tcW w:w="1815" w:type="dxa"/>
            <w:tcBorders>
              <w:top w:val="single" w:sz="4" w:space="0" w:color="auto"/>
              <w:left w:val="single" w:sz="4" w:space="0" w:color="auto"/>
              <w:bottom w:val="single" w:sz="4" w:space="0" w:color="auto"/>
              <w:right w:val="single" w:sz="4" w:space="0" w:color="auto"/>
            </w:tcBorders>
            <w:vAlign w:val="center"/>
          </w:tcPr>
          <w:p w:rsidR="00DD3710" w:rsidRDefault="009E691D" w:rsidP="00E75284">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DD3710" w:rsidRDefault="009E691D" w:rsidP="00E75284">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DD3710" w:rsidRDefault="009E691D" w:rsidP="00E75284">
            <w:pPr>
              <w:snapToGrid w:val="0"/>
              <w:ind w:firstLine="0"/>
              <w:jc w:val="center"/>
              <w:rPr>
                <w:snapToGrid/>
                <w:sz w:val="24"/>
                <w:szCs w:val="24"/>
              </w:rPr>
            </w:pPr>
            <w:r>
              <w:rPr>
                <w:snapToGrid/>
                <w:sz w:val="24"/>
                <w:szCs w:val="24"/>
              </w:rPr>
              <w:t>Строка годового плана закупок №479</w:t>
            </w:r>
          </w:p>
        </w:tc>
      </w:tr>
    </w:tbl>
    <w:p w:rsidR="00DD3710" w:rsidRDefault="009E691D">
      <w:pPr>
        <w:jc w:val="both"/>
        <w:rPr>
          <w:szCs w:val="28"/>
        </w:rPr>
      </w:pPr>
      <w:r>
        <w:rPr>
          <w:szCs w:val="28"/>
        </w:rPr>
        <w:t>Место поставки товара, выполнения ра</w:t>
      </w:r>
      <w:r w:rsidR="00E75284">
        <w:rPr>
          <w:szCs w:val="28"/>
        </w:rPr>
        <w:t>бот, оказания услуг: 195009, г. </w:t>
      </w:r>
      <w:r>
        <w:rPr>
          <w:szCs w:val="28"/>
        </w:rPr>
        <w:t xml:space="preserve">Санкт-Петербург, </w:t>
      </w:r>
      <w:proofErr w:type="gramStart"/>
      <w:r>
        <w:rPr>
          <w:szCs w:val="28"/>
        </w:rPr>
        <w:t>участок ж</w:t>
      </w:r>
      <w:proofErr w:type="gramEnd"/>
      <w:r>
        <w:rPr>
          <w:szCs w:val="28"/>
        </w:rPr>
        <w:t>.д. «Минер</w:t>
      </w:r>
      <w:r w:rsidR="00E75284">
        <w:rPr>
          <w:szCs w:val="28"/>
        </w:rPr>
        <w:t>альная ул.- Лесной пр», лит. Д.</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D3710" w:rsidRDefault="009E691D">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«28» сентября 2018 г. 15 час. 00 мин. по «19» октября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D3710" w:rsidRDefault="009E691D">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«19» октября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DD3710" w:rsidRDefault="009E691D">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«25» октября 2018 г. 10 час. 00 мин.</w:t>
      </w:r>
      <w:bookmarkEnd w:id="33"/>
      <w:bookmarkEnd w:id="34"/>
      <w:bookmarkEnd w:id="35"/>
      <w:bookmarkEnd w:id="36"/>
      <w:bookmarkEnd w:id="37"/>
      <w:bookmarkEnd w:id="38"/>
      <w:bookmarkEnd w:id="39"/>
      <w:bookmarkEnd w:id="40"/>
      <w:bookmarkEnd w:id="41"/>
      <w:bookmarkEnd w:id="42"/>
      <w:bookmarkEnd w:id="43"/>
      <w:bookmarkEnd w:id="44"/>
    </w:p>
    <w:p w:rsidR="00DD3710" w:rsidRDefault="009E691D">
      <w:pPr>
        <w:jc w:val="both"/>
      </w:pPr>
      <w:r>
        <w:tab/>
        <w:t xml:space="preserve">Место: Российская Федерация, 191002, г. Санкт-Петербург, Владимирский пр., д. 23.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DD3710" w:rsidRDefault="009E691D">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 xml:space="preserve">«30» октября 2018 г. </w:t>
      </w:r>
      <w:r>
        <w:rPr>
          <w:szCs w:val="28"/>
        </w:rPr>
        <w:t>10 час. 00 мин.</w:t>
      </w:r>
      <w:bookmarkEnd w:id="45"/>
      <w:bookmarkEnd w:id="46"/>
      <w:bookmarkEnd w:id="47"/>
      <w:bookmarkEnd w:id="48"/>
      <w:bookmarkEnd w:id="49"/>
      <w:bookmarkEnd w:id="50"/>
      <w:bookmarkEnd w:id="51"/>
      <w:bookmarkEnd w:id="52"/>
      <w:bookmarkEnd w:id="53"/>
      <w:bookmarkEnd w:id="54"/>
      <w:bookmarkEnd w:id="55"/>
    </w:p>
    <w:p w:rsidR="00DD3710" w:rsidRDefault="009E691D">
      <w:pPr>
        <w:jc w:val="both"/>
      </w:pPr>
      <w:r>
        <w:tab/>
        <w:t xml:space="preserve">Место: Российская Федерация, 191002, г. Санкт-Петербург, Владимирский пр., д. 23.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91D" w:rsidRDefault="009E691D" w:rsidP="00CB1C18">
      <w:r>
        <w:separator/>
      </w:r>
    </w:p>
  </w:endnote>
  <w:endnote w:type="continuationSeparator" w:id="0">
    <w:p w:rsidR="009E691D" w:rsidRDefault="009E691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91D" w:rsidRDefault="009E691D" w:rsidP="00CB1C18">
      <w:r>
        <w:separator/>
      </w:r>
    </w:p>
  </w:footnote>
  <w:footnote w:type="continuationSeparator" w:id="0">
    <w:p w:rsidR="009E691D" w:rsidRDefault="009E691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D3710">
    <w:pPr>
      <w:pStyle w:val="af0"/>
      <w:jc w:val="center"/>
    </w:pPr>
    <w:r>
      <w:fldChar w:fldCharType="begin"/>
    </w:r>
    <w:r w:rsidR="00052B26">
      <w:instrText xml:space="preserve"> PAGE   \* MERGEFORMAT </w:instrText>
    </w:r>
    <w:r>
      <w:fldChar w:fldCharType="separate"/>
    </w:r>
    <w:r w:rsidR="00151DB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1DB8"/>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02972"/>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565CC"/>
    <w:rsid w:val="00962FD2"/>
    <w:rsid w:val="009662B7"/>
    <w:rsid w:val="00966BF5"/>
    <w:rsid w:val="009847FD"/>
    <w:rsid w:val="00994F52"/>
    <w:rsid w:val="009B6FDE"/>
    <w:rsid w:val="009C16C0"/>
    <w:rsid w:val="009C4A5D"/>
    <w:rsid w:val="009D3360"/>
    <w:rsid w:val="009E691D"/>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D3710"/>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7528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A9D37-0C67-49FA-B4E1-47AC2E2C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890</Words>
  <Characters>5077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68</cp:revision>
  <cp:lastPrinted>2013-10-11T11:56:00Z</cp:lastPrinted>
  <dcterms:created xsi:type="dcterms:W3CDTF">2013-08-27T12:50:00Z</dcterms:created>
  <dcterms:modified xsi:type="dcterms:W3CDTF">2018-09-28T07:39:00Z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