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4707E3">
        <w:rPr>
          <w:b/>
        </w:rPr>
        <w:t>01</w:t>
      </w:r>
      <w:r w:rsidR="004948D5" w:rsidRPr="004948D5">
        <w:rPr>
          <w:b/>
        </w:rPr>
        <w:t>»</w:t>
      </w:r>
      <w:r w:rsidR="00FE063A">
        <w:rPr>
          <w:b/>
        </w:rPr>
        <w:t xml:space="preserve"> </w:t>
      </w:r>
      <w:r w:rsidR="004707E3">
        <w:rPr>
          <w:b/>
        </w:rPr>
        <w:t>ноября</w:t>
      </w:r>
      <w:r w:rsidR="005D257E">
        <w:rPr>
          <w:b/>
        </w:rPr>
        <w:t xml:space="preserve"> </w:t>
      </w:r>
      <w:r w:rsidR="00860811">
        <w:rPr>
          <w:b/>
        </w:rPr>
        <w:t>2018</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642D60">
      <w:pPr>
        <w:pStyle w:val="11"/>
        <w:ind w:firstLine="709"/>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404139" w:rsidRPr="00404139">
        <w:rPr>
          <w:b/>
        </w:rPr>
        <w:t xml:space="preserve">среди субъектов МСП </w:t>
      </w:r>
      <w:r w:rsidR="00404139">
        <w:rPr>
          <w:b/>
        </w:rPr>
        <w:br/>
      </w:r>
      <w:r w:rsidR="00642D60" w:rsidRPr="00642D60">
        <w:rPr>
          <w:b/>
        </w:rPr>
        <w:t>№ РО-МСП-НКПОКТ-18-0027 по предмету закупки «Аренда транспортных средств с э</w:t>
      </w:r>
      <w:r w:rsidR="00642D60">
        <w:rPr>
          <w:b/>
        </w:rPr>
        <w:t>кипажем по заказам филиала ПАО </w:t>
      </w:r>
      <w:r w:rsidR="00642D60" w:rsidRPr="00642D60">
        <w:rPr>
          <w:b/>
        </w:rPr>
        <w:t>«ТрансКонтейнер» на Октябрьской железной дороге» (далее – процедура Размещения оферты)</w:t>
      </w:r>
      <w:r w:rsidR="00642D60">
        <w:rPr>
          <w:b/>
        </w:rPr>
        <w:t>.</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4C1D47" w:rsidRPr="004C1D47" w:rsidRDefault="00EB2080" w:rsidP="004C1D47">
      <w:pPr>
        <w:shd w:val="clear" w:color="auto" w:fill="FFFFFF"/>
        <w:jc w:val="both"/>
        <w:rPr>
          <w:szCs w:val="28"/>
        </w:rPr>
      </w:pPr>
      <w:r>
        <w:rPr>
          <w:b/>
        </w:rPr>
        <w:t xml:space="preserve">1. </w:t>
      </w:r>
      <w:r w:rsidR="004C1D47" w:rsidRPr="006105DD">
        <w:t>Таблицу № 1</w:t>
      </w:r>
      <w:r w:rsidR="004C1D47">
        <w:rPr>
          <w:b/>
        </w:rPr>
        <w:t xml:space="preserve"> </w:t>
      </w:r>
      <w:r w:rsidR="004C1D47">
        <w:rPr>
          <w:szCs w:val="28"/>
        </w:rPr>
        <w:t>«Предельные ставки арендной платы транспортного средства с экипажем»</w:t>
      </w:r>
      <w:r w:rsidR="004C1D47">
        <w:rPr>
          <w:b/>
        </w:rPr>
        <w:t xml:space="preserve"> </w:t>
      </w:r>
      <w:r w:rsidR="004C1D47">
        <w:rPr>
          <w:szCs w:val="28"/>
        </w:rPr>
        <w:t>Приложения</w:t>
      </w:r>
      <w:r w:rsidR="00C1280E">
        <w:rPr>
          <w:szCs w:val="28"/>
        </w:rPr>
        <w:t xml:space="preserve"> № 1 к Техническому заданию Документации о закупке</w:t>
      </w:r>
      <w:r w:rsidR="006105DD">
        <w:rPr>
          <w:szCs w:val="28"/>
        </w:rPr>
        <w:t xml:space="preserve"> и </w:t>
      </w:r>
      <w:r w:rsidR="00355458">
        <w:rPr>
          <w:szCs w:val="28"/>
        </w:rPr>
        <w:t xml:space="preserve">Приложение № 6 </w:t>
      </w:r>
      <w:r w:rsidR="006105DD">
        <w:rPr>
          <w:szCs w:val="28"/>
        </w:rPr>
        <w:t>«Предельные ставки арендной платы транспортного средства с экипажем»</w:t>
      </w:r>
      <w:r w:rsidR="006105DD">
        <w:rPr>
          <w:b/>
        </w:rPr>
        <w:t xml:space="preserve"> </w:t>
      </w:r>
      <w:r w:rsidR="00355458">
        <w:rPr>
          <w:szCs w:val="28"/>
        </w:rPr>
        <w:t>к проекту договора (Приложение </w:t>
      </w:r>
      <w:r w:rsidR="006105DD">
        <w:rPr>
          <w:szCs w:val="28"/>
        </w:rPr>
        <w:t>№ 4 к Документации о закупке)</w:t>
      </w:r>
      <w:r w:rsidR="00C1280E">
        <w:rPr>
          <w:szCs w:val="28"/>
        </w:rPr>
        <w:t xml:space="preserve"> изложить в следующей редакции:</w:t>
      </w:r>
    </w:p>
    <w:tbl>
      <w:tblPr>
        <w:tblpPr w:leftFromText="180" w:rightFromText="180" w:vertAnchor="text" w:horzAnchor="margin" w:tblpXSpec="center" w:tblpY="21"/>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4736"/>
        <w:gridCol w:w="1560"/>
        <w:gridCol w:w="1842"/>
      </w:tblGrid>
      <w:tr w:rsidR="00FC08E8" w:rsidRPr="00C50B37" w:rsidTr="008D0E8C">
        <w:trPr>
          <w:trHeight w:val="983"/>
        </w:trPr>
        <w:tc>
          <w:tcPr>
            <w:tcW w:w="1101"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b/>
                <w:bCs/>
                <w:snapToGrid/>
                <w:sz w:val="20"/>
                <w:lang w:eastAsia="en-US"/>
              </w:rPr>
            </w:pPr>
          </w:p>
        </w:tc>
        <w:tc>
          <w:tcPr>
            <w:tcW w:w="4736"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b/>
                <w:bCs/>
                <w:snapToGrid/>
                <w:sz w:val="20"/>
                <w:lang w:eastAsia="en-US"/>
              </w:rPr>
            </w:pPr>
            <w:r w:rsidRPr="00C50B37">
              <w:rPr>
                <w:rFonts w:eastAsia="Calibri"/>
                <w:b/>
                <w:bCs/>
                <w:snapToGrid/>
                <w:sz w:val="20"/>
                <w:lang w:eastAsia="en-US"/>
              </w:rPr>
              <w:t>Адреса</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b/>
                <w:bCs/>
                <w:snapToGrid/>
                <w:sz w:val="20"/>
                <w:lang w:eastAsia="en-US"/>
              </w:rPr>
            </w:pPr>
            <w:r w:rsidRPr="00C50B37">
              <w:rPr>
                <w:rFonts w:eastAsia="Calibri"/>
                <w:b/>
                <w:bCs/>
                <w:snapToGrid/>
                <w:sz w:val="20"/>
                <w:lang w:eastAsia="en-US"/>
              </w:rPr>
              <w:t>Типоразмер</w:t>
            </w:r>
          </w:p>
        </w:tc>
        <w:tc>
          <w:tcPr>
            <w:tcW w:w="1842"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b/>
                <w:bCs/>
                <w:snapToGrid/>
                <w:sz w:val="20"/>
                <w:lang w:eastAsia="en-US"/>
              </w:rPr>
            </w:pPr>
            <w:bookmarkStart w:id="0" w:name="_GoBack"/>
            <w:bookmarkEnd w:id="0"/>
            <w:r w:rsidRPr="00C50B37">
              <w:rPr>
                <w:rFonts w:eastAsia="Calibri"/>
                <w:b/>
                <w:bCs/>
                <w:snapToGrid/>
                <w:sz w:val="20"/>
                <w:lang w:eastAsia="en-US"/>
              </w:rPr>
              <w:t>Предельные ставки (руб. без учета НДС)</w:t>
            </w:r>
          </w:p>
        </w:tc>
      </w:tr>
      <w:tr w:rsidR="00FC08E8" w:rsidRPr="00C50B37" w:rsidTr="00D20874">
        <w:trPr>
          <w:trHeight w:val="268"/>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1</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Фрунзенский</w:t>
            </w:r>
            <w:proofErr w:type="spellEnd"/>
            <w:r w:rsidRPr="00C50B37">
              <w:rPr>
                <w:rFonts w:eastAsia="Calibri"/>
                <w:snapToGrid/>
                <w:sz w:val="24"/>
                <w:szCs w:val="24"/>
                <w:lang w:eastAsia="en-US"/>
              </w:rPr>
              <w:t xml:space="preserve"> район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8 060,67</w:t>
            </w:r>
          </w:p>
        </w:tc>
      </w:tr>
      <w:tr w:rsidR="00FC08E8" w:rsidRPr="00C50B37" w:rsidTr="00D20874">
        <w:trPr>
          <w:trHeight w:val="131"/>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9 521,67</w:t>
            </w:r>
          </w:p>
        </w:tc>
      </w:tr>
      <w:tr w:rsidR="00FC08E8" w:rsidRPr="00C50B37" w:rsidTr="00D20874">
        <w:trPr>
          <w:trHeight w:val="404"/>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2</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ул. </w:t>
            </w:r>
            <w:proofErr w:type="gramStart"/>
            <w:r w:rsidRPr="00C50B37">
              <w:rPr>
                <w:rFonts w:eastAsia="Calibri"/>
                <w:snapToGrid/>
                <w:sz w:val="24"/>
                <w:szCs w:val="24"/>
                <w:lang w:eastAsia="en-US"/>
              </w:rPr>
              <w:t>Тосина</w:t>
            </w:r>
            <w:proofErr w:type="gramEnd"/>
            <w:r w:rsidRPr="00C50B37">
              <w:rPr>
                <w:rFonts w:eastAsia="Calibri"/>
                <w:snapToGrid/>
                <w:sz w:val="24"/>
                <w:szCs w:val="24"/>
                <w:lang w:eastAsia="en-US"/>
              </w:rPr>
              <w:t xml:space="preserve">, Лиговский пр.,  </w:t>
            </w:r>
            <w:proofErr w:type="spellStart"/>
            <w:r w:rsidRPr="00C50B37">
              <w:rPr>
                <w:rFonts w:eastAsia="Calibri"/>
                <w:snapToGrid/>
                <w:sz w:val="24"/>
                <w:szCs w:val="24"/>
                <w:lang w:eastAsia="en-US"/>
              </w:rPr>
              <w:t>наб</w:t>
            </w:r>
            <w:proofErr w:type="spellEnd"/>
            <w:r w:rsidRPr="00C50B37">
              <w:rPr>
                <w:rFonts w:eastAsia="Calibri"/>
                <w:snapToGrid/>
                <w:sz w:val="24"/>
                <w:szCs w:val="24"/>
                <w:lang w:eastAsia="en-US"/>
              </w:rPr>
              <w:t xml:space="preserve">. Обводного канала, ул. </w:t>
            </w:r>
            <w:proofErr w:type="spellStart"/>
            <w:r w:rsidRPr="00C50B37">
              <w:rPr>
                <w:rFonts w:eastAsia="Calibri"/>
                <w:snapToGrid/>
                <w:sz w:val="24"/>
                <w:szCs w:val="24"/>
                <w:lang w:eastAsia="en-US"/>
              </w:rPr>
              <w:t>Касимовская</w:t>
            </w:r>
            <w:proofErr w:type="spellEnd"/>
            <w:r w:rsidRPr="00C50B37">
              <w:rPr>
                <w:rFonts w:eastAsia="Calibri"/>
                <w:snapToGrid/>
                <w:sz w:val="24"/>
                <w:szCs w:val="24"/>
                <w:lang w:eastAsia="en-US"/>
              </w:rPr>
              <w:t>, ул. Фучика, ул. Салова.</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8 060,67</w:t>
            </w:r>
          </w:p>
        </w:tc>
      </w:tr>
      <w:tr w:rsidR="00FC08E8" w:rsidRPr="00C50B37" w:rsidTr="00D20874">
        <w:trPr>
          <w:trHeight w:val="253"/>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9 521,67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3</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Московский район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8 060,67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9 521,67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4</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ул. </w:t>
            </w:r>
            <w:proofErr w:type="spellStart"/>
            <w:r w:rsidRPr="00C50B37">
              <w:rPr>
                <w:rFonts w:eastAsia="Calibri"/>
                <w:snapToGrid/>
                <w:sz w:val="24"/>
                <w:szCs w:val="24"/>
                <w:lang w:eastAsia="en-US"/>
              </w:rPr>
              <w:t>Касимовская</w:t>
            </w:r>
            <w:proofErr w:type="spellEnd"/>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8 397,33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9 858,33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5</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w:t>
            </w:r>
            <w:proofErr w:type="spellStart"/>
            <w:r w:rsidRPr="00C50B37">
              <w:rPr>
                <w:rFonts w:eastAsia="Calibri"/>
                <w:snapToGrid/>
                <w:sz w:val="24"/>
                <w:szCs w:val="24"/>
                <w:lang w:eastAsia="en-US"/>
              </w:rPr>
              <w:t>Пулковское</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ш</w:t>
            </w:r>
            <w:proofErr w:type="spellEnd"/>
            <w:r w:rsidRPr="00C50B37">
              <w:rPr>
                <w:rFonts w:eastAsia="Calibri"/>
                <w:snapToGrid/>
                <w:sz w:val="24"/>
                <w:szCs w:val="24"/>
                <w:lang w:eastAsia="en-US"/>
              </w:rPr>
              <w:t>. д. 56, к. 4</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8 397,33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tcBorders>
              <w:bottom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bottom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9 858,33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6</w:t>
            </w:r>
          </w:p>
        </w:tc>
        <w:tc>
          <w:tcPr>
            <w:tcW w:w="4736" w:type="dxa"/>
            <w:vMerge w:val="restart"/>
            <w:tcBorders>
              <w:right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w:t>
            </w:r>
            <w:proofErr w:type="gramStart"/>
            <w:r w:rsidRPr="00C50B37">
              <w:rPr>
                <w:rFonts w:eastAsia="Calibri"/>
                <w:snapToGrid/>
                <w:sz w:val="24"/>
                <w:szCs w:val="24"/>
                <w:lang w:eastAsia="en-US"/>
              </w:rPr>
              <w:t>Московское</w:t>
            </w:r>
            <w:proofErr w:type="gram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ш</w:t>
            </w:r>
            <w:proofErr w:type="spellEnd"/>
            <w:r w:rsidRPr="00C50B37">
              <w:rPr>
                <w:rFonts w:eastAsia="Calibri"/>
                <w:snapToGrid/>
                <w:sz w:val="24"/>
                <w:szCs w:val="24"/>
                <w:lang w:eastAsia="en-US"/>
              </w:rPr>
              <w:t>., д.1-70</w:t>
            </w:r>
          </w:p>
        </w:tc>
        <w:tc>
          <w:tcPr>
            <w:tcW w:w="1560" w:type="dxa"/>
            <w:tcBorders>
              <w:top w:val="single" w:sz="4" w:space="0" w:color="auto"/>
              <w:left w:val="single" w:sz="4" w:space="0" w:color="auto"/>
              <w:bottom w:val="single" w:sz="4" w:space="0" w:color="auto"/>
              <w:right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8 227,33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tcBorders>
              <w:top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top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9 355,00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7</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Кировский район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11 128,67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12 309,00</w:t>
            </w:r>
          </w:p>
        </w:tc>
      </w:tr>
      <w:tr w:rsidR="00FC08E8" w:rsidRPr="00C50B37" w:rsidTr="00D20874">
        <w:trPr>
          <w:trHeight w:val="243"/>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8</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ММПК </w:t>
            </w:r>
            <w:proofErr w:type="spellStart"/>
            <w:r w:rsidRPr="00C50B37">
              <w:rPr>
                <w:rFonts w:eastAsia="Calibri"/>
                <w:snapToGrid/>
                <w:sz w:val="24"/>
                <w:szCs w:val="24"/>
                <w:lang w:eastAsia="en-US"/>
              </w:rPr>
              <w:t>Бронка</w:t>
            </w:r>
            <w:proofErr w:type="spellEnd"/>
            <w:r w:rsidRPr="00C50B37">
              <w:rPr>
                <w:rFonts w:eastAsia="Calibri"/>
                <w:snapToGrid/>
                <w:sz w:val="24"/>
                <w:szCs w:val="24"/>
                <w:lang w:eastAsia="en-US"/>
              </w:rPr>
              <w:t xml:space="preserve"> (г. Санкт-Петербург, г. Ломоносов, Краснофлотское шоссе, 49)</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12 048,67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13 983,33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9</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Красносельский</w:t>
            </w:r>
            <w:proofErr w:type="spellEnd"/>
            <w:r w:rsidRPr="00C50B37">
              <w:rPr>
                <w:rFonts w:eastAsia="Calibri"/>
                <w:snapToGrid/>
                <w:sz w:val="24"/>
                <w:szCs w:val="24"/>
                <w:lang w:eastAsia="en-US"/>
              </w:rPr>
              <w:t xml:space="preserve"> район СПб</w:t>
            </w:r>
            <w:proofErr w:type="gramStart"/>
            <w:r w:rsidRPr="00C50B37">
              <w:rPr>
                <w:rFonts w:eastAsia="Calibri"/>
                <w:snapToGrid/>
                <w:sz w:val="24"/>
                <w:szCs w:val="24"/>
                <w:lang w:eastAsia="en-US"/>
              </w:rPr>
              <w:t>.</w:t>
            </w:r>
            <w:proofErr w:type="gramEnd"/>
            <w:r w:rsidRPr="00C50B37">
              <w:rPr>
                <w:rFonts w:eastAsia="Calibri"/>
                <w:snapToGrid/>
                <w:sz w:val="24"/>
                <w:szCs w:val="24"/>
                <w:lang w:eastAsia="en-US"/>
              </w:rPr>
              <w:t xml:space="preserve"> </w:t>
            </w:r>
            <w:proofErr w:type="gramStart"/>
            <w:r w:rsidRPr="00C50B37">
              <w:rPr>
                <w:rFonts w:eastAsia="Calibri"/>
                <w:snapToGrid/>
                <w:sz w:val="24"/>
                <w:szCs w:val="24"/>
                <w:lang w:eastAsia="en-US"/>
              </w:rPr>
              <w:t>д</w:t>
            </w:r>
            <w:proofErr w:type="gramEnd"/>
            <w:r w:rsidRPr="00C50B37">
              <w:rPr>
                <w:rFonts w:eastAsia="Calibri"/>
                <w:snapToGrid/>
                <w:sz w:val="24"/>
                <w:szCs w:val="24"/>
                <w:lang w:eastAsia="en-US"/>
              </w:rPr>
              <w:t>о ул. Партизана Германа.</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11 128,67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12 309,00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10</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Красносельский</w:t>
            </w:r>
            <w:proofErr w:type="spellEnd"/>
            <w:r w:rsidRPr="00C50B37">
              <w:rPr>
                <w:rFonts w:eastAsia="Calibri"/>
                <w:snapToGrid/>
                <w:sz w:val="24"/>
                <w:szCs w:val="24"/>
                <w:lang w:eastAsia="en-US"/>
              </w:rPr>
              <w:t xml:space="preserve"> район СПб</w:t>
            </w:r>
            <w:proofErr w:type="gramStart"/>
            <w:r w:rsidRPr="00C50B37">
              <w:rPr>
                <w:rFonts w:eastAsia="Calibri"/>
                <w:snapToGrid/>
                <w:sz w:val="24"/>
                <w:szCs w:val="24"/>
                <w:lang w:eastAsia="en-US"/>
              </w:rPr>
              <w:t>.</w:t>
            </w:r>
            <w:proofErr w:type="gramEnd"/>
            <w:r w:rsidRPr="00C50B37">
              <w:rPr>
                <w:rFonts w:eastAsia="Calibri"/>
                <w:snapToGrid/>
                <w:sz w:val="24"/>
                <w:szCs w:val="24"/>
                <w:lang w:eastAsia="en-US"/>
              </w:rPr>
              <w:t xml:space="preserve"> </w:t>
            </w:r>
            <w:proofErr w:type="gramStart"/>
            <w:r w:rsidRPr="00C50B37">
              <w:rPr>
                <w:rFonts w:eastAsia="Calibri"/>
                <w:snapToGrid/>
                <w:sz w:val="24"/>
                <w:szCs w:val="24"/>
                <w:lang w:eastAsia="en-US"/>
              </w:rPr>
              <w:t>о</w:t>
            </w:r>
            <w:proofErr w:type="gramEnd"/>
            <w:r w:rsidRPr="00C50B37">
              <w:rPr>
                <w:rFonts w:eastAsia="Calibri"/>
                <w:snapToGrid/>
                <w:sz w:val="24"/>
                <w:szCs w:val="24"/>
                <w:lang w:eastAsia="en-US"/>
              </w:rPr>
              <w:t>т ул. Партизана Германа, Невский (в т.ч. Рыбацкое) район</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11 462,00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12 642,33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11</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Красное Село</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11 462,00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12 642,33</w:t>
            </w:r>
          </w:p>
        </w:tc>
      </w:tr>
      <w:tr w:rsidR="00FC08E8" w:rsidRPr="00C50B37" w:rsidTr="002F07A5">
        <w:trPr>
          <w:trHeight w:val="354"/>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12</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ул. </w:t>
            </w:r>
            <w:proofErr w:type="gramStart"/>
            <w:r w:rsidRPr="00C50B37">
              <w:rPr>
                <w:rFonts w:eastAsia="Calibri"/>
                <w:snapToGrid/>
                <w:sz w:val="24"/>
                <w:szCs w:val="24"/>
                <w:lang w:eastAsia="en-US"/>
              </w:rPr>
              <w:t>Запорожская</w:t>
            </w:r>
            <w:proofErr w:type="gramEnd"/>
            <w:r w:rsidRPr="00C50B37">
              <w:rPr>
                <w:rFonts w:eastAsia="Calibri"/>
                <w:snapToGrid/>
                <w:sz w:val="24"/>
                <w:szCs w:val="24"/>
                <w:lang w:eastAsia="en-US"/>
              </w:rPr>
              <w:t xml:space="preserve">, д. 12 лит ВА, Октябрьская </w:t>
            </w:r>
            <w:proofErr w:type="spellStart"/>
            <w:r w:rsidRPr="00C50B37">
              <w:rPr>
                <w:rFonts w:eastAsia="Calibri"/>
                <w:snapToGrid/>
                <w:sz w:val="24"/>
                <w:szCs w:val="24"/>
                <w:lang w:eastAsia="en-US"/>
              </w:rPr>
              <w:t>наб</w:t>
            </w:r>
            <w:proofErr w:type="spellEnd"/>
            <w:r w:rsidRPr="00C50B37">
              <w:rPr>
                <w:rFonts w:eastAsia="Calibri"/>
                <w:snapToGrid/>
                <w:sz w:val="24"/>
                <w:szCs w:val="24"/>
                <w:lang w:eastAsia="en-US"/>
              </w:rPr>
              <w:t xml:space="preserve">., пр. </w:t>
            </w:r>
            <w:proofErr w:type="spellStart"/>
            <w:r w:rsidRPr="00C50B37">
              <w:rPr>
                <w:rFonts w:eastAsia="Calibri"/>
                <w:snapToGrid/>
                <w:sz w:val="24"/>
                <w:szCs w:val="24"/>
                <w:lang w:eastAsia="en-US"/>
              </w:rPr>
              <w:t>Обуховской</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оборны</w:t>
            </w:r>
            <w:proofErr w:type="spellEnd"/>
            <w:r w:rsidRPr="00C50B37">
              <w:rPr>
                <w:rFonts w:eastAsia="Calibri"/>
                <w:snapToGrid/>
                <w:sz w:val="24"/>
                <w:szCs w:val="24"/>
                <w:lang w:eastAsia="en-US"/>
              </w:rPr>
              <w:t>, ул. Латышских Стрелков</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9 858,33</w:t>
            </w:r>
          </w:p>
        </w:tc>
      </w:tr>
      <w:tr w:rsidR="00FC08E8" w:rsidRPr="00C50B37" w:rsidTr="002F07A5">
        <w:trPr>
          <w:trHeight w:val="417"/>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10 569,33</w:t>
            </w:r>
          </w:p>
        </w:tc>
      </w:tr>
      <w:tr w:rsidR="00FC08E8" w:rsidRPr="00C50B37" w:rsidTr="008D0E8C">
        <w:trPr>
          <w:trHeight w:val="36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13</w:t>
            </w:r>
          </w:p>
        </w:tc>
        <w:tc>
          <w:tcPr>
            <w:tcW w:w="4736" w:type="dxa"/>
            <w:vMerge w:val="restart"/>
            <w:vAlign w:val="center"/>
          </w:tcPr>
          <w:p w:rsidR="00FC08E8" w:rsidRPr="00C50B37" w:rsidRDefault="00DC1F44" w:rsidP="0002576D">
            <w:pPr>
              <w:tabs>
                <w:tab w:val="clear" w:pos="709"/>
              </w:tabs>
              <w:suppressAutoHyphens/>
              <w:autoSpaceDE w:val="0"/>
              <w:autoSpaceDN w:val="0"/>
              <w:adjustRightInd w:val="0"/>
              <w:ind w:firstLine="0"/>
              <w:jc w:val="center"/>
              <w:rPr>
                <w:rFonts w:eastAsia="Calibri"/>
                <w:snapToGrid/>
                <w:sz w:val="24"/>
                <w:szCs w:val="24"/>
                <w:lang w:eastAsia="en-US"/>
              </w:rPr>
            </w:pPr>
            <w:r>
              <w:rPr>
                <w:rFonts w:eastAsia="Calibri"/>
                <w:snapToGrid/>
                <w:sz w:val="24"/>
                <w:szCs w:val="24"/>
                <w:lang w:eastAsia="en-US"/>
              </w:rPr>
              <w:t>Красногвардейский  район СПб</w:t>
            </w:r>
            <w:proofErr w:type="gramStart"/>
            <w:r>
              <w:rPr>
                <w:rFonts w:eastAsia="Calibri"/>
                <w:snapToGrid/>
                <w:sz w:val="24"/>
                <w:szCs w:val="24"/>
                <w:lang w:eastAsia="en-US"/>
              </w:rPr>
              <w:t xml:space="preserve">., </w:t>
            </w:r>
            <w:proofErr w:type="gramEnd"/>
            <w:r w:rsidR="00FC08E8" w:rsidRPr="00C50B37">
              <w:rPr>
                <w:rFonts w:eastAsia="Calibri"/>
                <w:snapToGrid/>
                <w:sz w:val="24"/>
                <w:szCs w:val="24"/>
                <w:lang w:eastAsia="en-US"/>
              </w:rPr>
              <w:t>Гатчина, ул. Солодухина, д. 2.</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11 786,00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tcBorders>
              <w:top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top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13 351,33</w:t>
            </w:r>
          </w:p>
        </w:tc>
      </w:tr>
      <w:tr w:rsidR="00FC08E8" w:rsidRPr="00C50B37" w:rsidTr="00D20874">
        <w:trPr>
          <w:trHeight w:val="430"/>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14</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Индустриальный пр., ул. </w:t>
            </w:r>
            <w:proofErr w:type="gramStart"/>
            <w:r w:rsidRPr="00C50B37">
              <w:rPr>
                <w:rFonts w:eastAsia="Calibri"/>
                <w:snapToGrid/>
                <w:sz w:val="24"/>
                <w:szCs w:val="24"/>
                <w:lang w:eastAsia="en-US"/>
              </w:rPr>
              <w:t>Партизанская</w:t>
            </w:r>
            <w:proofErr w:type="gram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Полюстровский</w:t>
            </w:r>
            <w:proofErr w:type="spellEnd"/>
            <w:r w:rsidRPr="00C50B37">
              <w:rPr>
                <w:rFonts w:eastAsia="Calibri"/>
                <w:snapToGrid/>
                <w:sz w:val="24"/>
                <w:szCs w:val="24"/>
                <w:lang w:eastAsia="en-US"/>
              </w:rPr>
              <w:t xml:space="preserve"> пр.</w:t>
            </w:r>
          </w:p>
        </w:tc>
        <w:tc>
          <w:tcPr>
            <w:tcW w:w="1560" w:type="dxa"/>
            <w:tcBorders>
              <w:right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tcBorders>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10 191,67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10 902,67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15</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Калининский  район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12 642,33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13 351,33</w:t>
            </w:r>
          </w:p>
        </w:tc>
      </w:tr>
      <w:tr w:rsidR="00FC08E8" w:rsidRPr="00C50B37" w:rsidTr="008D0E8C">
        <w:trPr>
          <w:trHeight w:val="368"/>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16</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w:t>
            </w:r>
            <w:proofErr w:type="spellStart"/>
            <w:r w:rsidRPr="00C50B37">
              <w:rPr>
                <w:rFonts w:eastAsia="Calibri"/>
                <w:snapToGrid/>
                <w:sz w:val="24"/>
                <w:szCs w:val="24"/>
                <w:lang w:eastAsia="en-US"/>
              </w:rPr>
              <w:t>Санкт-Петербург</w:t>
            </w:r>
            <w:proofErr w:type="gramStart"/>
            <w:r w:rsidRPr="00C50B37">
              <w:rPr>
                <w:rFonts w:eastAsia="Calibri"/>
                <w:snapToGrid/>
                <w:sz w:val="24"/>
                <w:szCs w:val="24"/>
                <w:lang w:eastAsia="en-US"/>
              </w:rPr>
              <w:t>,у</w:t>
            </w:r>
            <w:proofErr w:type="gramEnd"/>
            <w:r w:rsidRPr="00C50B37">
              <w:rPr>
                <w:rFonts w:eastAsia="Calibri"/>
                <w:snapToGrid/>
                <w:sz w:val="24"/>
                <w:szCs w:val="24"/>
                <w:lang w:eastAsia="en-US"/>
              </w:rPr>
              <w:t>л</w:t>
            </w:r>
            <w:proofErr w:type="spellEnd"/>
            <w:r w:rsidRPr="00C50B37">
              <w:rPr>
                <w:rFonts w:eastAsia="Calibri"/>
                <w:snapToGrid/>
                <w:sz w:val="24"/>
                <w:szCs w:val="24"/>
                <w:lang w:eastAsia="en-US"/>
              </w:rPr>
              <w:t>. Михайлова, пр. Непокоренных, ул. Минеральная.</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10 525,00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11 236,00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17</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Выборгский, Приморский районы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13 716,67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15 208,67</w:t>
            </w:r>
          </w:p>
        </w:tc>
      </w:tr>
      <w:tr w:rsidR="00FC08E8" w:rsidRPr="00C50B37" w:rsidTr="00D20874">
        <w:trPr>
          <w:trHeight w:val="412"/>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18</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gramStart"/>
            <w:r w:rsidRPr="00C50B37">
              <w:rPr>
                <w:rFonts w:eastAsia="Calibri"/>
                <w:snapToGrid/>
                <w:sz w:val="24"/>
                <w:szCs w:val="24"/>
                <w:lang w:eastAsia="en-US"/>
              </w:rPr>
              <w:t xml:space="preserve">Парнас, ул. Маршала Новикова, ул. </w:t>
            </w:r>
            <w:proofErr w:type="spellStart"/>
            <w:r w:rsidRPr="00C50B37">
              <w:rPr>
                <w:rFonts w:eastAsia="Calibri"/>
                <w:snapToGrid/>
                <w:sz w:val="24"/>
                <w:szCs w:val="24"/>
                <w:lang w:eastAsia="en-US"/>
              </w:rPr>
              <w:t>Новосельковская</w:t>
            </w:r>
            <w:proofErr w:type="spellEnd"/>
            <w:r w:rsidRPr="00C50B37">
              <w:rPr>
                <w:rFonts w:eastAsia="Calibri"/>
                <w:snapToGrid/>
                <w:sz w:val="24"/>
                <w:szCs w:val="24"/>
                <w:lang w:eastAsia="en-US"/>
              </w:rPr>
              <w:t xml:space="preserve">, ул. </w:t>
            </w:r>
            <w:proofErr w:type="spellStart"/>
            <w:r w:rsidRPr="00C50B37">
              <w:rPr>
                <w:rFonts w:eastAsia="Calibri"/>
                <w:snapToGrid/>
                <w:sz w:val="24"/>
                <w:szCs w:val="24"/>
                <w:lang w:eastAsia="en-US"/>
              </w:rPr>
              <w:t>Лисичанская</w:t>
            </w:r>
            <w:proofErr w:type="spellEnd"/>
            <w:r w:rsidRPr="00C50B37">
              <w:rPr>
                <w:rFonts w:eastAsia="Calibri"/>
                <w:snapToGrid/>
                <w:sz w:val="24"/>
                <w:szCs w:val="24"/>
                <w:lang w:eastAsia="en-US"/>
              </w:rPr>
              <w:t>, ул. Лабораторная, ул. Чугунная.</w:t>
            </w:r>
            <w:proofErr w:type="gramEnd"/>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11 203,33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11 925,33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19</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Колпинский</w:t>
            </w:r>
            <w:proofErr w:type="spellEnd"/>
            <w:r w:rsidRPr="00C50B37">
              <w:rPr>
                <w:rFonts w:eastAsia="Calibri"/>
                <w:snapToGrid/>
                <w:sz w:val="24"/>
                <w:szCs w:val="24"/>
                <w:lang w:eastAsia="en-US"/>
              </w:rPr>
              <w:t xml:space="preserve">, </w:t>
            </w:r>
            <w:proofErr w:type="gramStart"/>
            <w:r w:rsidRPr="00C50B37">
              <w:rPr>
                <w:rFonts w:eastAsia="Calibri"/>
                <w:snapToGrid/>
                <w:sz w:val="24"/>
                <w:szCs w:val="24"/>
                <w:lang w:eastAsia="en-US"/>
              </w:rPr>
              <w:t>Пушкинский</w:t>
            </w:r>
            <w:proofErr w:type="gramEnd"/>
            <w:r w:rsidRPr="00C50B37">
              <w:rPr>
                <w:rFonts w:eastAsia="Calibri"/>
                <w:snapToGrid/>
                <w:sz w:val="24"/>
                <w:szCs w:val="24"/>
                <w:lang w:eastAsia="en-US"/>
              </w:rPr>
              <w:t xml:space="preserve"> районы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9 480,33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10 547,33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20</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дорога на </w:t>
            </w:r>
            <w:proofErr w:type="spellStart"/>
            <w:r w:rsidRPr="00C50B37">
              <w:rPr>
                <w:rFonts w:eastAsia="Calibri"/>
                <w:snapToGrid/>
                <w:sz w:val="24"/>
                <w:szCs w:val="24"/>
                <w:lang w:eastAsia="en-US"/>
              </w:rPr>
              <w:t>Металлострой</w:t>
            </w:r>
            <w:proofErr w:type="spellEnd"/>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9 147,00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10 214,00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21</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w:t>
            </w:r>
            <w:proofErr w:type="gramStart"/>
            <w:r w:rsidRPr="00C50B37">
              <w:rPr>
                <w:rFonts w:eastAsia="Calibri"/>
                <w:snapToGrid/>
                <w:sz w:val="24"/>
                <w:szCs w:val="24"/>
                <w:lang w:eastAsia="en-US"/>
              </w:rPr>
              <w:t>Московское</w:t>
            </w:r>
            <w:proofErr w:type="gram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ш</w:t>
            </w:r>
            <w:proofErr w:type="spellEnd"/>
            <w:r w:rsidRPr="00C50B37">
              <w:rPr>
                <w:rFonts w:eastAsia="Calibri"/>
                <w:snapToGrid/>
                <w:sz w:val="24"/>
                <w:szCs w:val="24"/>
                <w:lang w:eastAsia="en-US"/>
              </w:rPr>
              <w:t>., 345</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8 810,33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tcBorders>
              <w:bottom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bottom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9 877,33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22</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 Санкт-Петербург,  </w:t>
            </w:r>
            <w:proofErr w:type="spellStart"/>
            <w:r w:rsidRPr="00C50B37">
              <w:rPr>
                <w:rFonts w:eastAsia="Calibri"/>
                <w:snapToGrid/>
                <w:sz w:val="24"/>
                <w:szCs w:val="24"/>
                <w:lang w:eastAsia="en-US"/>
              </w:rPr>
              <w:t>Волхонское</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ш</w:t>
            </w:r>
            <w:proofErr w:type="spellEnd"/>
            <w:r w:rsidRPr="00C50B37">
              <w:rPr>
                <w:rFonts w:eastAsia="Calibri"/>
                <w:snapToGrid/>
                <w:sz w:val="24"/>
                <w:szCs w:val="24"/>
                <w:lang w:eastAsia="en-US"/>
              </w:rPr>
              <w:t>.</w:t>
            </w:r>
          </w:p>
        </w:tc>
        <w:tc>
          <w:tcPr>
            <w:tcW w:w="1560" w:type="dxa"/>
            <w:tcBorders>
              <w:top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tcBorders>
              <w:top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10 547,33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11 284,33</w:t>
            </w:r>
          </w:p>
        </w:tc>
      </w:tr>
      <w:tr w:rsidR="00FC08E8" w:rsidRPr="00C50B37" w:rsidTr="008D0E8C">
        <w:trPr>
          <w:trHeight w:val="384"/>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23</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Гатчинский, Кировский, </w:t>
            </w:r>
            <w:proofErr w:type="spellStart"/>
            <w:r w:rsidRPr="00C50B37">
              <w:rPr>
                <w:rFonts w:eastAsia="Calibri"/>
                <w:snapToGrid/>
                <w:sz w:val="24"/>
                <w:szCs w:val="24"/>
                <w:lang w:eastAsia="en-US"/>
              </w:rPr>
              <w:t>Тосненский</w:t>
            </w:r>
            <w:proofErr w:type="spellEnd"/>
            <w:r w:rsidRPr="00C50B37">
              <w:rPr>
                <w:rFonts w:eastAsia="Calibri"/>
                <w:snapToGrid/>
                <w:sz w:val="24"/>
                <w:szCs w:val="24"/>
                <w:lang w:eastAsia="en-US"/>
              </w:rPr>
              <w:t xml:space="preserve"> районы;   </w:t>
            </w:r>
            <w:proofErr w:type="spellStart"/>
            <w:r w:rsidRPr="00C50B37">
              <w:rPr>
                <w:rFonts w:eastAsia="Calibri"/>
                <w:snapToGrid/>
                <w:sz w:val="24"/>
                <w:szCs w:val="24"/>
                <w:lang w:eastAsia="en-US"/>
              </w:rPr>
              <w:t>Петродворцовый</w:t>
            </w:r>
            <w:proofErr w:type="spellEnd"/>
            <w:r w:rsidRPr="00C50B37">
              <w:rPr>
                <w:rFonts w:eastAsia="Calibri"/>
                <w:snapToGrid/>
                <w:sz w:val="24"/>
                <w:szCs w:val="24"/>
                <w:lang w:eastAsia="en-US"/>
              </w:rPr>
              <w:t xml:space="preserve"> район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13 344,00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14 756,33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24</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ЗАО «КТСП», ЗАО «ПКТ», АО «ПЛП»</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7 409,00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7 854,33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25</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Всеволожский район ЛО</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13 956,33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15 525,00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26</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Всеволожск, ул. </w:t>
            </w:r>
            <w:proofErr w:type="gramStart"/>
            <w:r w:rsidRPr="00C50B37">
              <w:rPr>
                <w:rFonts w:eastAsia="Calibri"/>
                <w:snapToGrid/>
                <w:sz w:val="24"/>
                <w:szCs w:val="24"/>
                <w:lang w:eastAsia="en-US"/>
              </w:rPr>
              <w:t>Индустриальная</w:t>
            </w:r>
            <w:proofErr w:type="gramEnd"/>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11 177,33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11 933,33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27</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п. им. Морозова.</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13 999,33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15 435,67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28</w:t>
            </w:r>
          </w:p>
        </w:tc>
        <w:tc>
          <w:tcPr>
            <w:tcW w:w="4736" w:type="dxa"/>
            <w:vMerge w:val="restart"/>
            <w:vAlign w:val="center"/>
          </w:tcPr>
          <w:p w:rsidR="00DC1F44" w:rsidRDefault="00FC08E8" w:rsidP="00DC1F44">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Ломоносовский район ЛО;</w:t>
            </w:r>
          </w:p>
          <w:p w:rsidR="00FC08E8" w:rsidRPr="00C50B37" w:rsidRDefault="00FC08E8" w:rsidP="00DC1F44">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Кронштадский</w:t>
            </w:r>
            <w:proofErr w:type="spellEnd"/>
            <w:r w:rsidRPr="00C50B37">
              <w:rPr>
                <w:rFonts w:eastAsia="Calibri"/>
                <w:snapToGrid/>
                <w:sz w:val="24"/>
                <w:szCs w:val="24"/>
                <w:lang w:eastAsia="en-US"/>
              </w:rPr>
              <w:t xml:space="preserve"> район СПб.</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14 200,00</w:t>
            </w:r>
          </w:p>
        </w:tc>
      </w:tr>
      <w:tr w:rsidR="00FC08E8" w:rsidRPr="00C50B37" w:rsidTr="008D0E8C">
        <w:trPr>
          <w:trHeight w:val="154"/>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15 649,67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lastRenderedPageBreak/>
              <w:t>Зона 29</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Курортный район ЛО</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15 257,00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17 035,67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30</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Волосовский</w:t>
            </w:r>
            <w:proofErr w:type="spellEnd"/>
            <w:r w:rsidRPr="00C50B37">
              <w:rPr>
                <w:rFonts w:eastAsia="Calibri"/>
                <w:snapToGrid/>
                <w:sz w:val="24"/>
                <w:szCs w:val="24"/>
                <w:lang w:eastAsia="en-US"/>
              </w:rPr>
              <w:t xml:space="preserve"> район ЛО</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15 849,67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tcBorders>
              <w:right w:val="single" w:sz="4" w:space="0" w:color="auto"/>
            </w:tcBorders>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17 957,33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31</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Волховский</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Киришский</w:t>
            </w:r>
            <w:proofErr w:type="spellEnd"/>
            <w:r w:rsidRPr="00C50B37">
              <w:rPr>
                <w:rFonts w:eastAsia="Calibri"/>
                <w:snapToGrid/>
                <w:sz w:val="24"/>
                <w:szCs w:val="24"/>
                <w:lang w:eastAsia="en-US"/>
              </w:rPr>
              <w:t xml:space="preserve"> районы ЛО</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20 290,67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22 433,33</w:t>
            </w:r>
          </w:p>
        </w:tc>
      </w:tr>
      <w:tr w:rsidR="00FC08E8" w:rsidRPr="00C50B37" w:rsidTr="00D20874">
        <w:trPr>
          <w:trHeight w:val="379"/>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32</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 xml:space="preserve">Выборгский, </w:t>
            </w:r>
            <w:proofErr w:type="spellStart"/>
            <w:r w:rsidRPr="00C50B37">
              <w:rPr>
                <w:rFonts w:eastAsia="Calibri"/>
                <w:snapToGrid/>
                <w:sz w:val="24"/>
                <w:szCs w:val="24"/>
                <w:lang w:eastAsia="en-US"/>
              </w:rPr>
              <w:t>Приозерский</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Кингисепский</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Лужский</w:t>
            </w:r>
            <w:proofErr w:type="spellEnd"/>
            <w:r w:rsidRPr="00C50B37">
              <w:rPr>
                <w:rFonts w:eastAsia="Calibri"/>
                <w:snapToGrid/>
                <w:sz w:val="24"/>
                <w:szCs w:val="24"/>
                <w:lang w:eastAsia="en-US"/>
              </w:rPr>
              <w:t xml:space="preserve"> районы ЛО; Великий Новгород</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22 391,00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24 124,33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33</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Сланцевский</w:t>
            </w:r>
            <w:proofErr w:type="gramStart"/>
            <w:r w:rsidRPr="00C50B37">
              <w:rPr>
                <w:rFonts w:eastAsia="Calibri"/>
                <w:snapToGrid/>
                <w:sz w:val="24"/>
                <w:szCs w:val="24"/>
                <w:lang w:eastAsia="en-US"/>
              </w:rPr>
              <w:t>,Т</w:t>
            </w:r>
            <w:proofErr w:type="gramEnd"/>
            <w:r w:rsidRPr="00C50B37">
              <w:rPr>
                <w:rFonts w:eastAsia="Calibri"/>
                <w:snapToGrid/>
                <w:sz w:val="24"/>
                <w:szCs w:val="24"/>
                <w:lang w:eastAsia="en-US"/>
              </w:rPr>
              <w:t>ихвинский</w:t>
            </w:r>
            <w:proofErr w:type="spellEnd"/>
            <w:r w:rsidRPr="00C50B37">
              <w:rPr>
                <w:rFonts w:eastAsia="Calibri"/>
                <w:snapToGrid/>
                <w:sz w:val="24"/>
                <w:szCs w:val="24"/>
                <w:lang w:eastAsia="en-US"/>
              </w:rPr>
              <w:t xml:space="preserve"> районы</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24 791,00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26 621,33</w:t>
            </w:r>
          </w:p>
        </w:tc>
      </w:tr>
      <w:tr w:rsidR="00FC08E8" w:rsidRPr="00C50B37" w:rsidTr="008D0E8C">
        <w:trPr>
          <w:trHeight w:val="404"/>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34</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roofErr w:type="spellStart"/>
            <w:r w:rsidRPr="00C50B37">
              <w:rPr>
                <w:rFonts w:eastAsia="Calibri"/>
                <w:snapToGrid/>
                <w:sz w:val="24"/>
                <w:szCs w:val="24"/>
                <w:lang w:eastAsia="en-US"/>
              </w:rPr>
              <w:t>Бокситогорский</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Лодейнопольский</w:t>
            </w:r>
            <w:proofErr w:type="spellEnd"/>
            <w:r w:rsidRPr="00C50B37">
              <w:rPr>
                <w:rFonts w:eastAsia="Calibri"/>
                <w:snapToGrid/>
                <w:sz w:val="24"/>
                <w:szCs w:val="24"/>
                <w:lang w:eastAsia="en-US"/>
              </w:rPr>
              <w:t xml:space="preserve">, </w:t>
            </w:r>
            <w:proofErr w:type="spellStart"/>
            <w:r w:rsidRPr="00C50B37">
              <w:rPr>
                <w:rFonts w:eastAsia="Calibri"/>
                <w:snapToGrid/>
                <w:sz w:val="24"/>
                <w:szCs w:val="24"/>
                <w:lang w:eastAsia="en-US"/>
              </w:rPr>
              <w:t>Подпорожский</w:t>
            </w:r>
            <w:proofErr w:type="spellEnd"/>
            <w:r w:rsidRPr="00C50B37">
              <w:rPr>
                <w:rFonts w:eastAsia="Calibri"/>
                <w:snapToGrid/>
                <w:sz w:val="24"/>
                <w:szCs w:val="24"/>
                <w:lang w:eastAsia="en-US"/>
              </w:rPr>
              <w:t xml:space="preserve"> районы ЛО</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27 621,33</w:t>
            </w:r>
          </w:p>
        </w:tc>
      </w:tr>
      <w:tr w:rsidR="00FC08E8" w:rsidRPr="00C50B37" w:rsidTr="008D0E8C">
        <w:trPr>
          <w:trHeight w:val="26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29 377,00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ind w:firstLine="0"/>
              <w:jc w:val="center"/>
              <w:rPr>
                <w:snapToGrid/>
                <w:sz w:val="24"/>
                <w:szCs w:val="24"/>
                <w:lang w:eastAsia="ar-SA"/>
              </w:rPr>
            </w:pPr>
            <w:r w:rsidRPr="00C50B37">
              <w:rPr>
                <w:rFonts w:eastAsia="Calibri"/>
                <w:snapToGrid/>
                <w:sz w:val="24"/>
                <w:szCs w:val="24"/>
                <w:lang w:eastAsia="en-US"/>
              </w:rPr>
              <w:t>Зона 35</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г. Бологое</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39 044,00</w:t>
            </w:r>
          </w:p>
        </w:tc>
      </w:tr>
      <w:tr w:rsidR="00FC08E8" w:rsidRPr="00C50B37" w:rsidTr="008D0E8C">
        <w:trPr>
          <w:trHeight w:val="305"/>
        </w:trPr>
        <w:tc>
          <w:tcPr>
            <w:tcW w:w="1101" w:type="dxa"/>
            <w:vMerge/>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39 789,33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36</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snapToGrid/>
                <w:sz w:val="24"/>
                <w:szCs w:val="24"/>
                <w:lang w:eastAsia="ar-SA"/>
              </w:rPr>
              <w:t>г. Петрозаводск</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39 077,33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39 822,67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37</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snapToGrid/>
                <w:sz w:val="24"/>
                <w:szCs w:val="24"/>
                <w:lang w:eastAsia="ar-SA"/>
              </w:rPr>
              <w:t>г. Псков</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33 141,33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33 831,33</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38</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snapToGrid/>
                <w:sz w:val="24"/>
                <w:szCs w:val="24"/>
                <w:lang w:eastAsia="ar-SA"/>
              </w:rPr>
              <w:t>г. Тверь</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42 199,67</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42 890,67</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39</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snapToGrid/>
                <w:sz w:val="24"/>
                <w:szCs w:val="24"/>
                <w:lang w:eastAsia="ar-SA"/>
              </w:rPr>
              <w:t>г. Боровичи</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38 349,33</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39 053,00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40</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snapToGrid/>
                <w:sz w:val="24"/>
                <w:szCs w:val="24"/>
                <w:lang w:eastAsia="ar-SA"/>
              </w:rPr>
              <w:t>г. Мурманск</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143 799,00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148 804,00</w:t>
            </w:r>
          </w:p>
        </w:tc>
      </w:tr>
      <w:tr w:rsidR="00FC08E8" w:rsidRPr="00C50B37" w:rsidTr="008D0E8C">
        <w:trPr>
          <w:trHeight w:val="305"/>
        </w:trPr>
        <w:tc>
          <w:tcPr>
            <w:tcW w:w="1101"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Зона 41</w:t>
            </w:r>
          </w:p>
        </w:tc>
        <w:tc>
          <w:tcPr>
            <w:tcW w:w="4736" w:type="dxa"/>
            <w:vMerge w:val="restart"/>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snapToGrid/>
                <w:sz w:val="24"/>
                <w:szCs w:val="24"/>
                <w:lang w:eastAsia="ar-SA"/>
              </w:rPr>
              <w:t>г. Чудово, Новгородская область</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22 375,00</w:t>
            </w:r>
          </w:p>
        </w:tc>
      </w:tr>
      <w:tr w:rsidR="00FC08E8" w:rsidRPr="00C50B37" w:rsidTr="008D0E8C">
        <w:trPr>
          <w:trHeight w:val="305"/>
        </w:trPr>
        <w:tc>
          <w:tcPr>
            <w:tcW w:w="1101"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4736" w:type="dxa"/>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sz w:val="24"/>
                <w:szCs w:val="24"/>
                <w:lang w:eastAsia="ar-SA"/>
              </w:rPr>
              <w:t>24 150,67</w:t>
            </w:r>
          </w:p>
        </w:tc>
      </w:tr>
      <w:tr w:rsidR="00FC08E8" w:rsidRPr="00C50B37" w:rsidTr="008D0E8C">
        <w:trPr>
          <w:trHeight w:val="1043"/>
        </w:trPr>
        <w:tc>
          <w:tcPr>
            <w:tcW w:w="5837" w:type="dxa"/>
            <w:gridSpan w:val="2"/>
            <w:vMerge w:val="restart"/>
            <w:vAlign w:val="center"/>
          </w:tcPr>
          <w:p w:rsidR="00FC08E8" w:rsidRPr="00C50B37" w:rsidRDefault="00FC08E8" w:rsidP="0002576D">
            <w:pPr>
              <w:tabs>
                <w:tab w:val="clear" w:pos="709"/>
              </w:tabs>
              <w:suppressAutoHyphens/>
              <w:autoSpaceDE w:val="0"/>
              <w:autoSpaceDN w:val="0"/>
              <w:adjustRightInd w:val="0"/>
              <w:ind w:firstLine="0"/>
              <w:jc w:val="both"/>
              <w:rPr>
                <w:rFonts w:eastAsia="Calibri"/>
                <w:snapToGrid/>
                <w:sz w:val="24"/>
                <w:szCs w:val="24"/>
                <w:lang w:eastAsia="en-US"/>
              </w:rPr>
            </w:pPr>
            <w:r w:rsidRPr="00C50B37">
              <w:rPr>
                <w:snapToGrid/>
                <w:sz w:val="24"/>
                <w:szCs w:val="24"/>
                <w:lang w:eastAsia="ar-SA"/>
              </w:rPr>
              <w:t xml:space="preserve">Работа автомобиля сверх норматива. Норма времени </w:t>
            </w:r>
            <w:proofErr w:type="gramStart"/>
            <w:r w:rsidRPr="00C50B37">
              <w:rPr>
                <w:snapToGrid/>
                <w:sz w:val="24"/>
                <w:szCs w:val="24"/>
                <w:lang w:eastAsia="ar-SA"/>
              </w:rPr>
              <w:t>нахождения</w:t>
            </w:r>
            <w:proofErr w:type="gramEnd"/>
            <w:r w:rsidRPr="00C50B37">
              <w:rPr>
                <w:snapToGrid/>
                <w:sz w:val="24"/>
                <w:szCs w:val="24"/>
                <w:lang w:eastAsia="ar-SA"/>
              </w:rPr>
              <w:t xml:space="preserve"> а/т средства в местах погрузки или выгрузки, учитываемая в составе услуг: 20 фут - 3 часа; 40 фут - 4 часа. В случае </w:t>
            </w:r>
            <w:proofErr w:type="gramStart"/>
            <w:r w:rsidRPr="00C50B37">
              <w:rPr>
                <w:snapToGrid/>
                <w:sz w:val="24"/>
                <w:szCs w:val="24"/>
                <w:lang w:eastAsia="ar-SA"/>
              </w:rPr>
              <w:t>простоя</w:t>
            </w:r>
            <w:proofErr w:type="gramEnd"/>
            <w:r w:rsidRPr="00C50B37">
              <w:rPr>
                <w:snapToGrid/>
                <w:sz w:val="24"/>
                <w:szCs w:val="24"/>
                <w:lang w:eastAsia="ar-SA"/>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color w:val="000000"/>
                <w:sz w:val="24"/>
                <w:szCs w:val="24"/>
                <w:lang w:eastAsia="ar-SA"/>
              </w:rPr>
              <w:t>417,00</w:t>
            </w:r>
          </w:p>
        </w:tc>
      </w:tr>
      <w:tr w:rsidR="00FC08E8" w:rsidRPr="00C50B37" w:rsidTr="008D0E8C">
        <w:trPr>
          <w:trHeight w:val="305"/>
        </w:trPr>
        <w:tc>
          <w:tcPr>
            <w:tcW w:w="5837" w:type="dxa"/>
            <w:gridSpan w:val="2"/>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color w:val="000000"/>
                <w:sz w:val="24"/>
                <w:szCs w:val="24"/>
                <w:lang w:eastAsia="ar-SA"/>
              </w:rPr>
              <w:t>417,00</w:t>
            </w:r>
          </w:p>
        </w:tc>
      </w:tr>
      <w:tr w:rsidR="00FC08E8" w:rsidRPr="00C50B37" w:rsidTr="008D0E8C">
        <w:trPr>
          <w:trHeight w:val="650"/>
        </w:trPr>
        <w:tc>
          <w:tcPr>
            <w:tcW w:w="5837" w:type="dxa"/>
            <w:gridSpan w:val="2"/>
            <w:vMerge w:val="restart"/>
            <w:vAlign w:val="center"/>
          </w:tcPr>
          <w:p w:rsidR="00FC08E8" w:rsidRPr="00C50B37" w:rsidRDefault="00FC08E8" w:rsidP="00597ED0">
            <w:pPr>
              <w:tabs>
                <w:tab w:val="clear" w:pos="709"/>
              </w:tabs>
              <w:suppressAutoHyphens/>
              <w:autoSpaceDE w:val="0"/>
              <w:autoSpaceDN w:val="0"/>
              <w:adjustRightInd w:val="0"/>
              <w:ind w:firstLine="0"/>
              <w:jc w:val="both"/>
              <w:rPr>
                <w:rFonts w:eastAsia="Calibri"/>
                <w:snapToGrid/>
                <w:sz w:val="24"/>
                <w:szCs w:val="24"/>
                <w:lang w:eastAsia="en-US"/>
              </w:rPr>
            </w:pPr>
            <w:r w:rsidRPr="00C50B37">
              <w:rPr>
                <w:snapToGrid/>
                <w:sz w:val="24"/>
                <w:szCs w:val="24"/>
                <w:lang w:eastAsia="ar-SA"/>
              </w:rPr>
              <w:t>Загрузка/выгрузка контейнера по дополнительному адресу. Применяется к ставке города Санкт-Петербург не более 20 километров ме</w:t>
            </w:r>
            <w:r w:rsidR="00597ED0">
              <w:rPr>
                <w:snapToGrid/>
                <w:sz w:val="24"/>
                <w:szCs w:val="24"/>
                <w:lang w:eastAsia="ar-SA"/>
              </w:rPr>
              <w:t xml:space="preserve">жду адресами погрузки/выгрузки </w:t>
            </w:r>
            <w:r w:rsidRPr="00C50B37">
              <w:rPr>
                <w:snapToGrid/>
                <w:sz w:val="24"/>
                <w:szCs w:val="24"/>
                <w:lang w:eastAsia="ar-SA"/>
              </w:rPr>
              <w:t>первого, второго и более адресами.</w:t>
            </w: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20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color w:val="000000"/>
                <w:sz w:val="24"/>
                <w:szCs w:val="24"/>
                <w:lang w:eastAsia="ar-SA"/>
              </w:rPr>
              <w:t>4 758,86</w:t>
            </w:r>
          </w:p>
        </w:tc>
      </w:tr>
      <w:tr w:rsidR="00FC08E8" w:rsidRPr="00C50B37" w:rsidTr="008D0E8C">
        <w:trPr>
          <w:trHeight w:val="305"/>
        </w:trPr>
        <w:tc>
          <w:tcPr>
            <w:tcW w:w="5837" w:type="dxa"/>
            <w:gridSpan w:val="2"/>
            <w:vMerge/>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p>
        </w:tc>
        <w:tc>
          <w:tcPr>
            <w:tcW w:w="1560" w:type="dxa"/>
            <w:vAlign w:val="center"/>
          </w:tcPr>
          <w:p w:rsidR="00FC08E8" w:rsidRPr="00C50B37" w:rsidRDefault="00FC08E8" w:rsidP="0002576D">
            <w:pPr>
              <w:tabs>
                <w:tab w:val="clear" w:pos="709"/>
              </w:tabs>
              <w:suppressAutoHyphens/>
              <w:autoSpaceDE w:val="0"/>
              <w:autoSpaceDN w:val="0"/>
              <w:adjustRightInd w:val="0"/>
              <w:ind w:firstLine="0"/>
              <w:jc w:val="center"/>
              <w:rPr>
                <w:rFonts w:eastAsia="Calibri"/>
                <w:snapToGrid/>
                <w:sz w:val="24"/>
                <w:szCs w:val="24"/>
                <w:lang w:eastAsia="en-US"/>
              </w:rPr>
            </w:pPr>
            <w:r w:rsidRPr="00C50B37">
              <w:rPr>
                <w:rFonts w:eastAsia="Calibri"/>
                <w:snapToGrid/>
                <w:sz w:val="24"/>
                <w:szCs w:val="24"/>
                <w:lang w:eastAsia="en-US"/>
              </w:rPr>
              <w:t>40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C08E8" w:rsidRPr="00C50B37" w:rsidRDefault="00FC08E8" w:rsidP="0002576D">
            <w:pPr>
              <w:tabs>
                <w:tab w:val="clear" w:pos="709"/>
              </w:tabs>
              <w:suppressAutoHyphens/>
              <w:ind w:firstLine="0"/>
              <w:jc w:val="center"/>
              <w:rPr>
                <w:snapToGrid/>
                <w:color w:val="000000"/>
                <w:sz w:val="24"/>
                <w:szCs w:val="24"/>
                <w:lang w:eastAsia="ar-SA"/>
              </w:rPr>
            </w:pPr>
            <w:r w:rsidRPr="00C50B37">
              <w:rPr>
                <w:snapToGrid/>
                <w:color w:val="000000"/>
                <w:sz w:val="24"/>
                <w:szCs w:val="24"/>
                <w:lang w:eastAsia="ar-SA"/>
              </w:rPr>
              <w:t>5 384,17</w:t>
            </w:r>
          </w:p>
        </w:tc>
      </w:tr>
    </w:tbl>
    <w:p w:rsidR="00C1280E" w:rsidRDefault="00C1280E" w:rsidP="00C1280E">
      <w:pPr>
        <w:jc w:val="both"/>
        <w:rPr>
          <w:b/>
        </w:rPr>
      </w:pPr>
    </w:p>
    <w:p w:rsidR="0069475B" w:rsidRPr="0069475B" w:rsidRDefault="0069475B" w:rsidP="00220F34">
      <w:pPr>
        <w:suppressAutoHyphens/>
        <w:ind w:firstLine="0"/>
        <w:rPr>
          <w:bCs/>
          <w:snapToGrid/>
          <w:szCs w:val="28"/>
          <w:lang w:eastAsia="ar-SA"/>
        </w:rPr>
      </w:pPr>
      <w:r>
        <w:rPr>
          <w:bCs/>
          <w:snapToGrid/>
          <w:szCs w:val="28"/>
          <w:lang w:eastAsia="ar-SA"/>
        </w:rPr>
        <w:tab/>
      </w:r>
      <w:r w:rsidRPr="0069475B">
        <w:rPr>
          <w:bCs/>
          <w:snapToGrid/>
          <w:szCs w:val="28"/>
          <w:lang w:eastAsia="ar-SA"/>
        </w:rPr>
        <w:t>Далее по тексту.</w:t>
      </w:r>
    </w:p>
    <w:p w:rsidR="0069475B" w:rsidRPr="008964F3" w:rsidRDefault="0069475B" w:rsidP="00220F34">
      <w:pPr>
        <w:suppressAutoHyphens/>
        <w:ind w:firstLine="0"/>
        <w:rPr>
          <w:b/>
          <w:bCs/>
          <w:snapToGrid/>
          <w:szCs w:val="28"/>
          <w:u w:val="single"/>
          <w:lang w:eastAsia="ar-SA"/>
        </w:rPr>
      </w:pPr>
    </w:p>
    <w:p w:rsidR="00273D99" w:rsidRDefault="00FC08E8" w:rsidP="00860811">
      <w:pPr>
        <w:tabs>
          <w:tab w:val="left" w:pos="993"/>
        </w:tabs>
        <w:jc w:val="both"/>
        <w:rPr>
          <w:szCs w:val="28"/>
        </w:rPr>
      </w:pPr>
      <w:r>
        <w:rPr>
          <w:b/>
          <w:szCs w:val="28"/>
        </w:rPr>
        <w:t>2</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88275D" w:rsidRPr="0088275D">
        <w:t>среди субъек</w:t>
      </w:r>
      <w:r w:rsidR="004463EE">
        <w:t xml:space="preserve">тов МСП </w:t>
      </w:r>
      <w:r w:rsidR="004463EE">
        <w:br/>
        <w:t>№ РО-МСП-НКПОКТ-18-0027</w:t>
      </w:r>
      <w:r w:rsidR="00860811" w:rsidRPr="001B2E19">
        <w:rPr>
          <w:szCs w:val="28"/>
        </w:rPr>
        <w:t>, внесены изме</w:t>
      </w:r>
      <w:r w:rsidR="006F6BFD">
        <w:rPr>
          <w:szCs w:val="28"/>
        </w:rPr>
        <w:t>нения в документацию о закупке.</w:t>
      </w:r>
    </w:p>
    <w:p w:rsidR="00636496" w:rsidRPr="00860811" w:rsidRDefault="00860811" w:rsidP="00860811">
      <w:pPr>
        <w:tabs>
          <w:tab w:val="left" w:pos="993"/>
        </w:tabs>
        <w:jc w:val="both"/>
        <w:rPr>
          <w:szCs w:val="28"/>
        </w:rPr>
      </w:pPr>
      <w:r w:rsidRPr="001B2E19">
        <w:rPr>
          <w:szCs w:val="28"/>
        </w:rPr>
        <w:lastRenderedPageBreak/>
        <w:t xml:space="preserve">Актуальная редакция документации о закупке по </w:t>
      </w:r>
      <w:r w:rsidR="0088275D">
        <w:rPr>
          <w:szCs w:val="28"/>
        </w:rPr>
        <w:t>процедуре Размещения оферты</w:t>
      </w:r>
      <w:r>
        <w:rPr>
          <w:szCs w:val="28"/>
        </w:rPr>
        <w:t xml:space="preserve"> </w:t>
      </w:r>
      <w:r w:rsidR="0088275D" w:rsidRPr="0088275D">
        <w:t>среди субъе</w:t>
      </w:r>
      <w:r w:rsidR="004463EE">
        <w:t>ктов МСП № РО-МСП-НКПОКТ-18-0027</w:t>
      </w:r>
      <w:r w:rsidRPr="001B2E19">
        <w:rPr>
          <w:szCs w:val="28"/>
        </w:rPr>
        <w:t xml:space="preserve"> раз</w:t>
      </w:r>
      <w:r w:rsidR="0069475B">
        <w:rPr>
          <w:szCs w:val="28"/>
        </w:rPr>
        <w:t>мещена на официальном сайте ПАО </w:t>
      </w:r>
      <w:r w:rsidRPr="001B2E19">
        <w:rPr>
          <w:szCs w:val="28"/>
        </w:rPr>
        <w:t>«ТрансКонтейнер» (</w:t>
      </w:r>
      <w:hyperlink r:id="rId6"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7"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FE77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7"/>
  </w:num>
  <w:num w:numId="5">
    <w:abstractNumId w:val="40"/>
  </w:num>
  <w:num w:numId="6">
    <w:abstractNumId w:val="21"/>
  </w:num>
  <w:num w:numId="7">
    <w:abstractNumId w:val="19"/>
  </w:num>
  <w:num w:numId="8">
    <w:abstractNumId w:val="39"/>
  </w:num>
  <w:num w:numId="9">
    <w:abstractNumId w:val="37"/>
  </w:num>
  <w:num w:numId="10">
    <w:abstractNumId w:val="13"/>
  </w:num>
  <w:num w:numId="11">
    <w:abstractNumId w:val="63"/>
  </w:num>
  <w:num w:numId="12">
    <w:abstractNumId w:val="34"/>
  </w:num>
  <w:num w:numId="13">
    <w:abstractNumId w:val="45"/>
  </w:num>
  <w:num w:numId="14">
    <w:abstractNumId w:val="29"/>
  </w:num>
  <w:num w:numId="15">
    <w:abstractNumId w:val="59"/>
  </w:num>
  <w:num w:numId="16">
    <w:abstractNumId w:val="28"/>
  </w:num>
  <w:num w:numId="17">
    <w:abstractNumId w:val="50"/>
  </w:num>
  <w:num w:numId="18">
    <w:abstractNumId w:val="32"/>
  </w:num>
  <w:num w:numId="19">
    <w:abstractNumId w:val="15"/>
  </w:num>
  <w:num w:numId="20">
    <w:abstractNumId w:val="25"/>
  </w:num>
  <w:num w:numId="21">
    <w:abstractNumId w:val="7"/>
  </w:num>
  <w:num w:numId="22">
    <w:abstractNumId w:val="23"/>
  </w:num>
  <w:num w:numId="23">
    <w:abstractNumId w:val="67"/>
  </w:num>
  <w:num w:numId="24">
    <w:abstractNumId w:val="10"/>
  </w:num>
  <w:num w:numId="25">
    <w:abstractNumId w:val="55"/>
  </w:num>
  <w:num w:numId="26">
    <w:abstractNumId w:val="53"/>
  </w:num>
  <w:num w:numId="27">
    <w:abstractNumId w:val="22"/>
  </w:num>
  <w:num w:numId="28">
    <w:abstractNumId w:val="35"/>
  </w:num>
  <w:num w:numId="29">
    <w:abstractNumId w:val="46"/>
  </w:num>
  <w:num w:numId="30">
    <w:abstractNumId w:val="48"/>
  </w:num>
  <w:num w:numId="31">
    <w:abstractNumId w:val="38"/>
  </w:num>
  <w:num w:numId="32">
    <w:abstractNumId w:val="47"/>
  </w:num>
  <w:num w:numId="33">
    <w:abstractNumId w:val="41"/>
  </w:num>
  <w:num w:numId="34">
    <w:abstractNumId w:val="18"/>
  </w:num>
  <w:num w:numId="35">
    <w:abstractNumId w:val="11"/>
  </w:num>
  <w:num w:numId="36">
    <w:abstractNumId w:val="6"/>
  </w:num>
  <w:num w:numId="37">
    <w:abstractNumId w:val="33"/>
  </w:num>
  <w:num w:numId="38">
    <w:abstractNumId w:val="52"/>
  </w:num>
  <w:num w:numId="39">
    <w:abstractNumId w:val="20"/>
  </w:num>
  <w:num w:numId="40">
    <w:abstractNumId w:val="62"/>
  </w:num>
  <w:num w:numId="41">
    <w:abstractNumId w:val="9"/>
  </w:num>
  <w:num w:numId="42">
    <w:abstractNumId w:val="30"/>
  </w:num>
  <w:num w:numId="43">
    <w:abstractNumId w:val="66"/>
  </w:num>
  <w:num w:numId="44">
    <w:abstractNumId w:val="49"/>
  </w:num>
  <w:num w:numId="45">
    <w:abstractNumId w:val="64"/>
  </w:num>
  <w:num w:numId="46">
    <w:abstractNumId w:val="42"/>
  </w:num>
  <w:num w:numId="47">
    <w:abstractNumId w:val="56"/>
  </w:num>
  <w:num w:numId="48">
    <w:abstractNumId w:val="16"/>
  </w:num>
  <w:num w:numId="49">
    <w:abstractNumId w:val="43"/>
  </w:num>
  <w:num w:numId="50">
    <w:abstractNumId w:val="24"/>
  </w:num>
  <w:num w:numId="51">
    <w:abstractNumId w:val="31"/>
  </w:num>
  <w:num w:numId="52">
    <w:abstractNumId w:val="65"/>
  </w:num>
  <w:num w:numId="53">
    <w:abstractNumId w:val="54"/>
  </w:num>
  <w:num w:numId="54">
    <w:abstractNumId w:val="36"/>
  </w:num>
  <w:num w:numId="55">
    <w:abstractNumId w:val="57"/>
  </w:num>
  <w:num w:numId="56">
    <w:abstractNumId w:val="17"/>
  </w:num>
  <w:num w:numId="57">
    <w:abstractNumId w:val="61"/>
  </w:num>
  <w:num w:numId="58">
    <w:abstractNumId w:val="51"/>
  </w:num>
  <w:num w:numId="59">
    <w:abstractNumId w:val="60"/>
  </w:num>
  <w:num w:numId="60">
    <w:abstractNumId w:val="8"/>
  </w:num>
  <w:num w:numId="61">
    <w:abstractNumId w:val="4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63EE"/>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1532"/>
    <w:rsid w:val="005821DE"/>
    <w:rsid w:val="005824C6"/>
    <w:rsid w:val="005825F5"/>
    <w:rsid w:val="00583AE4"/>
    <w:rsid w:val="00585221"/>
    <w:rsid w:val="00593856"/>
    <w:rsid w:val="00597604"/>
    <w:rsid w:val="00597ED0"/>
    <w:rsid w:val="005A1AFF"/>
    <w:rsid w:val="005A4B63"/>
    <w:rsid w:val="005A69AB"/>
    <w:rsid w:val="005B1996"/>
    <w:rsid w:val="005B4B5F"/>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1F44"/>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28A"/>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DA6B1-59F1-4362-AB9E-473CC27B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35</cp:revision>
  <cp:lastPrinted>2018-01-15T11:39:00Z</cp:lastPrinted>
  <dcterms:created xsi:type="dcterms:W3CDTF">2018-03-07T11:34:00Z</dcterms:created>
  <dcterms:modified xsi:type="dcterms:W3CDTF">2018-11-01T10:25:00Z</dcterms:modified>
</cp:coreProperties>
</file>