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4707E3">
        <w:rPr>
          <w:b/>
        </w:rPr>
        <w:t>01</w:t>
      </w:r>
      <w:r w:rsidR="004948D5" w:rsidRPr="004948D5">
        <w:rPr>
          <w:b/>
        </w:rPr>
        <w:t>»</w:t>
      </w:r>
      <w:r w:rsidR="00FE063A">
        <w:rPr>
          <w:b/>
        </w:rPr>
        <w:t xml:space="preserve"> </w:t>
      </w:r>
      <w:r w:rsidR="004707E3">
        <w:rPr>
          <w:b/>
        </w:rPr>
        <w:t>ноября</w:t>
      </w:r>
      <w:r w:rsidR="005D257E">
        <w:rPr>
          <w:b/>
        </w:rPr>
        <w:t xml:space="preserve"> </w:t>
      </w:r>
      <w:r w:rsidR="00860811">
        <w:rPr>
          <w:b/>
        </w:rPr>
        <w:t>2018</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404139"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404139" w:rsidRPr="00404139">
        <w:rPr>
          <w:b/>
        </w:rPr>
        <w:t xml:space="preserve">среди субъектов МСП </w:t>
      </w:r>
      <w:r w:rsidR="00404139">
        <w:rPr>
          <w:b/>
        </w:rPr>
        <w:br/>
      </w:r>
      <w:r w:rsidR="00404139" w:rsidRPr="00404139">
        <w:rPr>
          <w:b/>
        </w:rPr>
        <w:t>№ РО-МСП-НКПОКТ-18-0029 по предмету «Аренда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(далее – процедура Размещения оферты)</w:t>
      </w:r>
      <w:r w:rsidR="00404139">
        <w:rPr>
          <w:b/>
        </w:rPr>
        <w:t>.</w:t>
      </w:r>
    </w:p>
    <w:p w:rsidR="00EB2080" w:rsidRDefault="00EB2080" w:rsidP="00C40DF6">
      <w:pPr>
        <w:pStyle w:val="11"/>
        <w:suppressAutoHyphens/>
        <w:ind w:firstLine="0"/>
        <w:jc w:val="center"/>
        <w:rPr>
          <w:b/>
        </w:rPr>
      </w:pPr>
    </w:p>
    <w:p w:rsidR="004C1D47" w:rsidRPr="004C1D47" w:rsidRDefault="00EB2080" w:rsidP="004C1D47">
      <w:pPr>
        <w:shd w:val="clear" w:color="auto" w:fill="FFFFFF"/>
        <w:jc w:val="both"/>
        <w:rPr>
          <w:szCs w:val="28"/>
        </w:rPr>
      </w:pPr>
      <w:r>
        <w:rPr>
          <w:b/>
        </w:rPr>
        <w:t xml:space="preserve">1. </w:t>
      </w:r>
      <w:r w:rsidR="004C1D47" w:rsidRPr="006105DD">
        <w:t>Таблицу № 1</w:t>
      </w:r>
      <w:r w:rsidR="004C1D47">
        <w:rPr>
          <w:b/>
        </w:rPr>
        <w:t xml:space="preserve"> </w:t>
      </w:r>
      <w:r w:rsidR="004C1D47">
        <w:rPr>
          <w:szCs w:val="28"/>
        </w:rPr>
        <w:t>«Предельные ставки арендной платы транспортного средства с экипажем»</w:t>
      </w:r>
      <w:r w:rsidR="004C1D47">
        <w:rPr>
          <w:b/>
        </w:rPr>
        <w:t xml:space="preserve"> </w:t>
      </w:r>
      <w:r w:rsidR="004C1D47">
        <w:rPr>
          <w:szCs w:val="28"/>
        </w:rPr>
        <w:t>Приложения</w:t>
      </w:r>
      <w:r w:rsidR="00C1280E">
        <w:rPr>
          <w:szCs w:val="28"/>
        </w:rPr>
        <w:t xml:space="preserve"> № 1 к Техническому заданию Документации о закупке</w:t>
      </w:r>
      <w:r w:rsidR="006105DD">
        <w:rPr>
          <w:szCs w:val="28"/>
        </w:rPr>
        <w:t xml:space="preserve"> и Таблицу № 1 «Предельные ставки арендной платы транспортного средства с экипажем»</w:t>
      </w:r>
      <w:r w:rsidR="006105DD">
        <w:rPr>
          <w:b/>
        </w:rPr>
        <w:t xml:space="preserve"> </w:t>
      </w:r>
      <w:r w:rsidR="006105DD">
        <w:rPr>
          <w:szCs w:val="28"/>
        </w:rPr>
        <w:t>Приложения № 6 к проекту договора (Приложение № 4 к Документации о закупке)</w:t>
      </w:r>
      <w:r w:rsidR="00C1280E">
        <w:rPr>
          <w:szCs w:val="28"/>
        </w:rPr>
        <w:t xml:space="preserve"> изложить в следующей редакции:</w:t>
      </w:r>
    </w:p>
    <w:tbl>
      <w:tblPr>
        <w:tblW w:w="981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5244"/>
        <w:gridCol w:w="1560"/>
        <w:gridCol w:w="1984"/>
      </w:tblGrid>
      <w:tr w:rsidR="00631DDC" w:rsidRPr="00631DDC" w:rsidTr="001A065C">
        <w:trPr>
          <w:trHeight w:val="756"/>
        </w:trPr>
        <w:tc>
          <w:tcPr>
            <w:tcW w:w="1023"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b/>
                <w:bCs/>
                <w:sz w:val="24"/>
                <w:szCs w:val="24"/>
                <w:lang w:eastAsia="en-US"/>
              </w:rPr>
            </w:pPr>
          </w:p>
        </w:tc>
        <w:tc>
          <w:tcPr>
            <w:tcW w:w="5244"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b/>
                <w:bCs/>
                <w:sz w:val="24"/>
                <w:szCs w:val="24"/>
                <w:lang w:eastAsia="en-US"/>
              </w:rPr>
            </w:pPr>
            <w:r w:rsidRPr="00631DDC">
              <w:rPr>
                <w:rFonts w:eastAsiaTheme="minorHAnsi"/>
                <w:b/>
                <w:bCs/>
                <w:sz w:val="24"/>
                <w:szCs w:val="24"/>
                <w:lang w:eastAsia="en-US"/>
              </w:rPr>
              <w:t>Адреса</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b/>
                <w:bCs/>
                <w:sz w:val="24"/>
                <w:szCs w:val="24"/>
                <w:lang w:eastAsia="en-US"/>
              </w:rPr>
            </w:pPr>
            <w:r w:rsidRPr="00631DDC">
              <w:rPr>
                <w:rFonts w:eastAsiaTheme="minorHAnsi"/>
                <w:b/>
                <w:bCs/>
                <w:sz w:val="24"/>
                <w:szCs w:val="24"/>
                <w:lang w:eastAsia="en-US"/>
              </w:rPr>
              <w:t>Типоразмер</w:t>
            </w:r>
          </w:p>
        </w:tc>
        <w:tc>
          <w:tcPr>
            <w:tcW w:w="1984"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b/>
                <w:bCs/>
                <w:sz w:val="24"/>
                <w:szCs w:val="24"/>
                <w:lang w:eastAsia="en-US"/>
              </w:rPr>
            </w:pPr>
            <w:r w:rsidRPr="00631DDC">
              <w:rPr>
                <w:b/>
                <w:bCs/>
                <w:sz w:val="24"/>
                <w:szCs w:val="24"/>
              </w:rPr>
              <w:t>Стоимость услуги в руб. (без НДС)</w:t>
            </w:r>
          </w:p>
        </w:tc>
      </w:tr>
      <w:tr w:rsidR="00631DDC" w:rsidRPr="00631DDC" w:rsidTr="001A065C">
        <w:trPr>
          <w:trHeight w:val="305"/>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1</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rFonts w:eastAsiaTheme="minorHAnsi"/>
                <w:sz w:val="24"/>
                <w:szCs w:val="24"/>
                <w:lang w:eastAsia="en-US"/>
              </w:rPr>
              <w:t>Город Тверь и Калининский район (до 15 км.)</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8 833,33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9 333,33</w:t>
            </w:r>
          </w:p>
        </w:tc>
      </w:tr>
      <w:tr w:rsidR="00631DDC" w:rsidRPr="00631DDC" w:rsidTr="001A065C">
        <w:trPr>
          <w:trHeight w:val="360"/>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2</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rFonts w:eastAsiaTheme="minorHAnsi"/>
                <w:sz w:val="24"/>
                <w:szCs w:val="24"/>
                <w:lang w:eastAsia="en-US"/>
              </w:rPr>
              <w:t>Тверская область от 15 км. Города: Лихославль, Рамешки, Торжок, Старица, Конаково</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14 333,33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14 833,33</w:t>
            </w:r>
          </w:p>
        </w:tc>
      </w:tr>
      <w:tr w:rsidR="00631DDC" w:rsidRPr="00631DDC" w:rsidTr="001A065C">
        <w:trPr>
          <w:trHeight w:val="371"/>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3</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rFonts w:eastAsiaTheme="minorHAnsi"/>
                <w:sz w:val="24"/>
                <w:szCs w:val="24"/>
                <w:lang w:eastAsia="en-US"/>
              </w:rPr>
              <w:t xml:space="preserve">Города: </w:t>
            </w:r>
            <w:r w:rsidRPr="00631DDC">
              <w:rPr>
                <w:color w:val="000000"/>
                <w:sz w:val="24"/>
                <w:szCs w:val="24"/>
              </w:rPr>
              <w:t>Контейнерный терминал Тверь – ул</w:t>
            </w:r>
            <w:proofErr w:type="gramStart"/>
            <w:r w:rsidRPr="00631DDC">
              <w:rPr>
                <w:color w:val="000000"/>
                <w:sz w:val="24"/>
                <w:szCs w:val="24"/>
              </w:rPr>
              <w:t>.Г</w:t>
            </w:r>
            <w:proofErr w:type="gramEnd"/>
            <w:r w:rsidRPr="00631DDC">
              <w:rPr>
                <w:color w:val="000000"/>
                <w:sz w:val="24"/>
                <w:szCs w:val="24"/>
              </w:rPr>
              <w:t>агарина, д.1</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7 666,66</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8 000,00</w:t>
            </w:r>
          </w:p>
        </w:tc>
      </w:tr>
      <w:tr w:rsidR="00631DDC" w:rsidRPr="00631DDC" w:rsidTr="001A065C">
        <w:trPr>
          <w:trHeight w:val="523"/>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4</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color w:val="000000"/>
                <w:sz w:val="24"/>
                <w:szCs w:val="24"/>
              </w:rPr>
              <w:t xml:space="preserve">Города: Кимры, Бежецк, Кашин, Зубцов, Ржев, Кувшиново, Вышний Волочек, </w:t>
            </w:r>
            <w:proofErr w:type="spellStart"/>
            <w:r w:rsidRPr="00631DDC">
              <w:rPr>
                <w:color w:val="000000"/>
                <w:sz w:val="24"/>
                <w:szCs w:val="24"/>
              </w:rPr>
              <w:t>Максатиха</w:t>
            </w:r>
            <w:proofErr w:type="spellEnd"/>
            <w:r w:rsidRPr="00631DDC">
              <w:rPr>
                <w:color w:val="000000"/>
                <w:sz w:val="24"/>
                <w:szCs w:val="24"/>
              </w:rPr>
              <w:t>, Спирово</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18 666,66</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19 333,33</w:t>
            </w:r>
          </w:p>
        </w:tc>
      </w:tr>
      <w:tr w:rsidR="00631DDC" w:rsidRPr="00631DDC" w:rsidTr="001A065C">
        <w:trPr>
          <w:trHeight w:val="625"/>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5</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color w:val="000000"/>
                <w:sz w:val="24"/>
                <w:szCs w:val="24"/>
              </w:rPr>
              <w:t xml:space="preserve">Города: </w:t>
            </w:r>
            <w:proofErr w:type="gramStart"/>
            <w:r w:rsidRPr="00631DDC">
              <w:rPr>
                <w:color w:val="000000"/>
                <w:sz w:val="24"/>
                <w:szCs w:val="24"/>
              </w:rPr>
              <w:t xml:space="preserve">Калязин, Осташков, Удомля, ЗАТО Озерный </w:t>
            </w:r>
            <w:proofErr w:type="spellStart"/>
            <w:r w:rsidRPr="00631DDC">
              <w:rPr>
                <w:color w:val="000000"/>
                <w:sz w:val="24"/>
                <w:szCs w:val="24"/>
              </w:rPr>
              <w:t>Бологовского</w:t>
            </w:r>
            <w:proofErr w:type="spellEnd"/>
            <w:r w:rsidRPr="00631DDC">
              <w:rPr>
                <w:color w:val="000000"/>
                <w:sz w:val="24"/>
                <w:szCs w:val="24"/>
              </w:rPr>
              <w:t xml:space="preserve"> р-на, Бологое, Красный Холм, Сонково, Селижарово, Лесное, Кесова Гора, Оленино</w:t>
            </w:r>
            <w:proofErr w:type="gramEnd"/>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23 833,33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24 500,00</w:t>
            </w:r>
          </w:p>
        </w:tc>
      </w:tr>
      <w:tr w:rsidR="00631DDC" w:rsidRPr="00631DDC" w:rsidTr="001A065C">
        <w:trPr>
          <w:trHeight w:val="399"/>
        </w:trPr>
        <w:tc>
          <w:tcPr>
            <w:tcW w:w="1023" w:type="dxa"/>
            <w:vMerge w:val="restart"/>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Зона 6</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highlight w:val="cyan"/>
                <w:lang w:eastAsia="en-US"/>
              </w:rPr>
            </w:pPr>
            <w:r w:rsidRPr="00631DDC">
              <w:rPr>
                <w:color w:val="000000"/>
                <w:sz w:val="24"/>
                <w:szCs w:val="24"/>
              </w:rPr>
              <w:t xml:space="preserve">Города: </w:t>
            </w:r>
            <w:proofErr w:type="spellStart"/>
            <w:r w:rsidRPr="00631DDC">
              <w:rPr>
                <w:color w:val="000000"/>
                <w:sz w:val="24"/>
                <w:szCs w:val="24"/>
              </w:rPr>
              <w:t>Андреаполь</w:t>
            </w:r>
            <w:proofErr w:type="spellEnd"/>
            <w:r w:rsidRPr="00631DDC">
              <w:rPr>
                <w:color w:val="000000"/>
                <w:sz w:val="24"/>
                <w:szCs w:val="24"/>
              </w:rPr>
              <w:t>, Нелидово, Западная Двина, Сандово, Молоково, Весьегонск, Фирово, Пено</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29 666,66</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30 333,33</w:t>
            </w:r>
          </w:p>
        </w:tc>
      </w:tr>
      <w:tr w:rsidR="00631DDC" w:rsidRPr="00631DDC" w:rsidTr="001A065C">
        <w:trPr>
          <w:trHeight w:val="352"/>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7</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color w:val="000000"/>
                <w:sz w:val="24"/>
                <w:szCs w:val="24"/>
              </w:rPr>
              <w:t xml:space="preserve">Города Торопец, Белый, </w:t>
            </w:r>
            <w:proofErr w:type="spellStart"/>
            <w:r w:rsidRPr="00631DDC">
              <w:rPr>
                <w:color w:val="000000"/>
                <w:sz w:val="24"/>
                <w:szCs w:val="24"/>
              </w:rPr>
              <w:t>Жарково</w:t>
            </w:r>
            <w:proofErr w:type="spellEnd"/>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33 000,00</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33 500,00</w:t>
            </w:r>
          </w:p>
        </w:tc>
      </w:tr>
      <w:tr w:rsidR="00631DDC" w:rsidRPr="00631DDC" w:rsidTr="001A065C">
        <w:trPr>
          <w:trHeight w:val="518"/>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8</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roofErr w:type="gramStart"/>
            <w:r w:rsidRPr="00631DDC">
              <w:rPr>
                <w:rFonts w:eastAsia="MS Mincho"/>
                <w:sz w:val="24"/>
                <w:szCs w:val="24"/>
              </w:rPr>
              <w:t xml:space="preserve">Химки, Зеленоград, Долгопрудный, Люберцы, </w:t>
            </w:r>
            <w:proofErr w:type="spellStart"/>
            <w:r w:rsidRPr="00631DDC">
              <w:rPr>
                <w:rFonts w:eastAsia="MS Mincho"/>
                <w:sz w:val="24"/>
                <w:szCs w:val="24"/>
              </w:rPr>
              <w:t>Балашиха</w:t>
            </w:r>
            <w:proofErr w:type="spellEnd"/>
            <w:r w:rsidRPr="00631DDC">
              <w:rPr>
                <w:rFonts w:eastAsia="MS Mincho"/>
                <w:sz w:val="24"/>
                <w:szCs w:val="24"/>
              </w:rPr>
              <w:t>, Красногорск, Мытищи, Реутов, Одинцово, Подольск, Домодедово</w:t>
            </w:r>
            <w:proofErr w:type="gramEnd"/>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24 000,00</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24 500,00</w:t>
            </w:r>
          </w:p>
        </w:tc>
      </w:tr>
      <w:tr w:rsidR="00631DDC" w:rsidRPr="00631DDC" w:rsidTr="001A065C">
        <w:trPr>
          <w:trHeight w:val="415"/>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9</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roofErr w:type="spellStart"/>
            <w:r w:rsidRPr="00631DDC">
              <w:rPr>
                <w:sz w:val="24"/>
                <w:szCs w:val="24"/>
              </w:rPr>
              <w:t>Лихославский</w:t>
            </w:r>
            <w:proofErr w:type="spellEnd"/>
            <w:r w:rsidRPr="00631DDC">
              <w:rPr>
                <w:sz w:val="24"/>
                <w:szCs w:val="24"/>
              </w:rPr>
              <w:t xml:space="preserve"> р-н, </w:t>
            </w:r>
            <w:proofErr w:type="spellStart"/>
            <w:r w:rsidRPr="00631DDC">
              <w:rPr>
                <w:sz w:val="24"/>
                <w:szCs w:val="24"/>
              </w:rPr>
              <w:t>Рамешковский</w:t>
            </w:r>
            <w:proofErr w:type="spellEnd"/>
            <w:r w:rsidRPr="00631DDC">
              <w:rPr>
                <w:sz w:val="24"/>
                <w:szCs w:val="24"/>
              </w:rPr>
              <w:t xml:space="preserve"> р-н, </w:t>
            </w:r>
            <w:proofErr w:type="spellStart"/>
            <w:r w:rsidRPr="00631DDC">
              <w:rPr>
                <w:sz w:val="24"/>
                <w:szCs w:val="24"/>
              </w:rPr>
              <w:t>Торжокский</w:t>
            </w:r>
            <w:proofErr w:type="spellEnd"/>
            <w:r w:rsidRPr="00631DDC">
              <w:rPr>
                <w:sz w:val="24"/>
                <w:szCs w:val="24"/>
              </w:rPr>
              <w:t xml:space="preserve"> р-н, Старицкий р-н, Конаковский р-н.</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16 666,66</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17 166,66</w:t>
            </w:r>
          </w:p>
        </w:tc>
      </w:tr>
      <w:tr w:rsidR="00631DDC" w:rsidRPr="00631DDC" w:rsidTr="001A065C">
        <w:trPr>
          <w:trHeight w:val="687"/>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10</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roofErr w:type="gramStart"/>
            <w:r w:rsidRPr="00631DDC">
              <w:rPr>
                <w:sz w:val="24"/>
                <w:szCs w:val="24"/>
              </w:rPr>
              <w:t xml:space="preserve">Кимрский р-н, </w:t>
            </w:r>
            <w:proofErr w:type="spellStart"/>
            <w:r w:rsidRPr="00631DDC">
              <w:rPr>
                <w:sz w:val="24"/>
                <w:szCs w:val="24"/>
              </w:rPr>
              <w:t>Бежецкий</w:t>
            </w:r>
            <w:proofErr w:type="spellEnd"/>
            <w:r w:rsidRPr="00631DDC">
              <w:rPr>
                <w:sz w:val="24"/>
                <w:szCs w:val="24"/>
              </w:rPr>
              <w:t xml:space="preserve"> р-н, </w:t>
            </w:r>
            <w:proofErr w:type="spellStart"/>
            <w:r w:rsidRPr="00631DDC">
              <w:rPr>
                <w:sz w:val="24"/>
                <w:szCs w:val="24"/>
              </w:rPr>
              <w:t>Кашинский</w:t>
            </w:r>
            <w:proofErr w:type="spellEnd"/>
            <w:r w:rsidRPr="00631DDC">
              <w:rPr>
                <w:sz w:val="24"/>
                <w:szCs w:val="24"/>
              </w:rPr>
              <w:t xml:space="preserve"> р-н, </w:t>
            </w:r>
            <w:proofErr w:type="spellStart"/>
            <w:r w:rsidRPr="00631DDC">
              <w:rPr>
                <w:sz w:val="24"/>
                <w:szCs w:val="24"/>
              </w:rPr>
              <w:t>Зубцовский</w:t>
            </w:r>
            <w:proofErr w:type="spellEnd"/>
            <w:r w:rsidRPr="00631DDC">
              <w:rPr>
                <w:sz w:val="24"/>
                <w:szCs w:val="24"/>
              </w:rPr>
              <w:t xml:space="preserve"> р-н, Ржевский р-н, </w:t>
            </w:r>
            <w:proofErr w:type="spellStart"/>
            <w:r w:rsidRPr="00631DDC">
              <w:rPr>
                <w:sz w:val="24"/>
                <w:szCs w:val="24"/>
              </w:rPr>
              <w:t>Кувшиновсикй</w:t>
            </w:r>
            <w:proofErr w:type="spellEnd"/>
            <w:r w:rsidRPr="00631DDC">
              <w:rPr>
                <w:sz w:val="24"/>
                <w:szCs w:val="24"/>
              </w:rPr>
              <w:t xml:space="preserve"> р-н, </w:t>
            </w:r>
            <w:proofErr w:type="spellStart"/>
            <w:r w:rsidRPr="00631DDC">
              <w:rPr>
                <w:sz w:val="24"/>
                <w:szCs w:val="24"/>
              </w:rPr>
              <w:t>Вышневолоцкий</w:t>
            </w:r>
            <w:proofErr w:type="spellEnd"/>
            <w:r w:rsidRPr="00631DDC">
              <w:rPr>
                <w:sz w:val="24"/>
                <w:szCs w:val="24"/>
              </w:rPr>
              <w:t xml:space="preserve"> р-н, </w:t>
            </w:r>
            <w:proofErr w:type="spellStart"/>
            <w:r w:rsidRPr="00631DDC">
              <w:rPr>
                <w:sz w:val="24"/>
                <w:szCs w:val="24"/>
              </w:rPr>
              <w:t>Максатинский</w:t>
            </w:r>
            <w:proofErr w:type="spellEnd"/>
            <w:r w:rsidRPr="00631DDC">
              <w:rPr>
                <w:sz w:val="24"/>
                <w:szCs w:val="24"/>
              </w:rPr>
              <w:t xml:space="preserve"> р-н, </w:t>
            </w:r>
            <w:proofErr w:type="spellStart"/>
            <w:r w:rsidRPr="00631DDC">
              <w:rPr>
                <w:sz w:val="24"/>
                <w:szCs w:val="24"/>
              </w:rPr>
              <w:t>Спировский</w:t>
            </w:r>
            <w:proofErr w:type="spellEnd"/>
            <w:r w:rsidRPr="00631DDC">
              <w:rPr>
                <w:sz w:val="24"/>
                <w:szCs w:val="24"/>
              </w:rPr>
              <w:t xml:space="preserve"> р-н.</w:t>
            </w:r>
            <w:proofErr w:type="gramEnd"/>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20 833,33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21 500,00</w:t>
            </w:r>
          </w:p>
        </w:tc>
      </w:tr>
      <w:tr w:rsidR="00631DDC" w:rsidRPr="00631DDC" w:rsidTr="001A065C">
        <w:trPr>
          <w:trHeight w:val="437"/>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11</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roofErr w:type="spellStart"/>
            <w:r w:rsidRPr="00631DDC">
              <w:rPr>
                <w:sz w:val="24"/>
                <w:szCs w:val="24"/>
              </w:rPr>
              <w:t>Калязинский</w:t>
            </w:r>
            <w:proofErr w:type="spellEnd"/>
            <w:r w:rsidRPr="00631DDC">
              <w:rPr>
                <w:sz w:val="24"/>
                <w:szCs w:val="24"/>
              </w:rPr>
              <w:t xml:space="preserve"> р-н, </w:t>
            </w:r>
            <w:proofErr w:type="spellStart"/>
            <w:r w:rsidRPr="00631DDC">
              <w:rPr>
                <w:sz w:val="24"/>
                <w:szCs w:val="24"/>
              </w:rPr>
              <w:t>Осташковский</w:t>
            </w:r>
            <w:proofErr w:type="spellEnd"/>
            <w:r w:rsidRPr="00631DDC">
              <w:rPr>
                <w:sz w:val="24"/>
                <w:szCs w:val="24"/>
              </w:rPr>
              <w:t xml:space="preserve"> р-н, </w:t>
            </w:r>
            <w:proofErr w:type="spellStart"/>
            <w:r w:rsidRPr="00631DDC">
              <w:rPr>
                <w:sz w:val="24"/>
                <w:szCs w:val="24"/>
              </w:rPr>
              <w:t>Удомельский</w:t>
            </w:r>
            <w:proofErr w:type="spellEnd"/>
            <w:r w:rsidRPr="00631DDC">
              <w:rPr>
                <w:sz w:val="24"/>
                <w:szCs w:val="24"/>
              </w:rPr>
              <w:t xml:space="preserve"> р-н, </w:t>
            </w:r>
            <w:proofErr w:type="spellStart"/>
            <w:r w:rsidRPr="00631DDC">
              <w:rPr>
                <w:sz w:val="24"/>
                <w:szCs w:val="24"/>
              </w:rPr>
              <w:t>Бологовский</w:t>
            </w:r>
            <w:proofErr w:type="spellEnd"/>
            <w:r w:rsidRPr="00631DDC">
              <w:rPr>
                <w:sz w:val="24"/>
                <w:szCs w:val="24"/>
              </w:rPr>
              <w:t xml:space="preserve"> р-н, </w:t>
            </w:r>
            <w:proofErr w:type="spellStart"/>
            <w:r w:rsidRPr="00631DDC">
              <w:rPr>
                <w:sz w:val="24"/>
                <w:szCs w:val="24"/>
              </w:rPr>
              <w:t>Селижаровский</w:t>
            </w:r>
            <w:proofErr w:type="spellEnd"/>
            <w:r w:rsidRPr="00631DDC">
              <w:rPr>
                <w:sz w:val="24"/>
                <w:szCs w:val="24"/>
              </w:rPr>
              <w:t xml:space="preserve"> р-н, </w:t>
            </w:r>
            <w:proofErr w:type="spellStart"/>
            <w:r w:rsidRPr="00631DDC">
              <w:rPr>
                <w:sz w:val="24"/>
                <w:szCs w:val="24"/>
              </w:rPr>
              <w:t>Оленинский</w:t>
            </w:r>
            <w:proofErr w:type="spellEnd"/>
            <w:r w:rsidRPr="00631DDC">
              <w:rPr>
                <w:sz w:val="24"/>
                <w:szCs w:val="24"/>
              </w:rPr>
              <w:t xml:space="preserve"> р-н.</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26 666,66</w:t>
            </w:r>
          </w:p>
        </w:tc>
      </w:tr>
      <w:tr w:rsidR="00631DDC" w:rsidRPr="00631DDC" w:rsidTr="001A065C">
        <w:trPr>
          <w:trHeight w:val="38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27 333,33</w:t>
            </w:r>
          </w:p>
        </w:tc>
      </w:tr>
      <w:tr w:rsidR="00631DDC" w:rsidRPr="00631DDC" w:rsidTr="001A065C">
        <w:trPr>
          <w:trHeight w:val="493"/>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12</w:t>
            </w:r>
          </w:p>
        </w:tc>
        <w:tc>
          <w:tcPr>
            <w:tcW w:w="5244" w:type="dxa"/>
            <w:vMerge w:val="restart"/>
            <w:shd w:val="clear" w:color="auto" w:fill="FFFFFF" w:themeFill="background1"/>
            <w:vAlign w:val="center"/>
          </w:tcPr>
          <w:p w:rsidR="00631DDC" w:rsidRPr="00631DDC" w:rsidRDefault="00631DDC" w:rsidP="00631DDC">
            <w:pPr>
              <w:ind w:firstLine="0"/>
              <w:jc w:val="both"/>
              <w:rPr>
                <w:sz w:val="24"/>
                <w:szCs w:val="24"/>
              </w:rPr>
            </w:pPr>
            <w:proofErr w:type="spellStart"/>
            <w:r w:rsidRPr="00631DDC">
              <w:rPr>
                <w:sz w:val="24"/>
                <w:szCs w:val="24"/>
              </w:rPr>
              <w:t>Андреапольский</w:t>
            </w:r>
            <w:proofErr w:type="spellEnd"/>
            <w:r w:rsidRPr="00631DDC">
              <w:rPr>
                <w:sz w:val="24"/>
                <w:szCs w:val="24"/>
              </w:rPr>
              <w:t xml:space="preserve"> р-н, </w:t>
            </w:r>
            <w:proofErr w:type="spellStart"/>
            <w:r w:rsidRPr="00631DDC">
              <w:rPr>
                <w:sz w:val="24"/>
                <w:szCs w:val="24"/>
              </w:rPr>
              <w:t>Нелидовский</w:t>
            </w:r>
            <w:proofErr w:type="spellEnd"/>
            <w:r w:rsidRPr="00631DDC">
              <w:rPr>
                <w:sz w:val="24"/>
                <w:szCs w:val="24"/>
              </w:rPr>
              <w:t xml:space="preserve"> р-н, </w:t>
            </w:r>
            <w:proofErr w:type="spellStart"/>
            <w:r w:rsidRPr="00631DDC">
              <w:rPr>
                <w:sz w:val="24"/>
                <w:szCs w:val="24"/>
              </w:rPr>
              <w:t>Заподнодвинский</w:t>
            </w:r>
            <w:proofErr w:type="spellEnd"/>
            <w:r w:rsidRPr="00631DDC">
              <w:rPr>
                <w:sz w:val="24"/>
                <w:szCs w:val="24"/>
              </w:rPr>
              <w:t xml:space="preserve"> р-н, </w:t>
            </w:r>
            <w:proofErr w:type="spellStart"/>
            <w:r w:rsidRPr="00631DDC">
              <w:rPr>
                <w:sz w:val="24"/>
                <w:szCs w:val="24"/>
              </w:rPr>
              <w:t>Сандовский</w:t>
            </w:r>
            <w:proofErr w:type="spellEnd"/>
            <w:r w:rsidRPr="00631DDC">
              <w:rPr>
                <w:sz w:val="24"/>
                <w:szCs w:val="24"/>
              </w:rPr>
              <w:t xml:space="preserve"> р-н, </w:t>
            </w:r>
            <w:proofErr w:type="spellStart"/>
            <w:r w:rsidRPr="00631DDC">
              <w:rPr>
                <w:sz w:val="24"/>
                <w:szCs w:val="24"/>
              </w:rPr>
              <w:t>Молоковский</w:t>
            </w:r>
            <w:proofErr w:type="spellEnd"/>
            <w:r w:rsidRPr="00631DDC">
              <w:rPr>
                <w:sz w:val="24"/>
                <w:szCs w:val="24"/>
              </w:rPr>
              <w:t xml:space="preserve"> р-н, Весьегонский р-н, </w:t>
            </w:r>
            <w:proofErr w:type="spellStart"/>
            <w:r w:rsidRPr="00631DDC">
              <w:rPr>
                <w:sz w:val="24"/>
                <w:szCs w:val="24"/>
              </w:rPr>
              <w:t>Фировский</w:t>
            </w:r>
            <w:proofErr w:type="spellEnd"/>
            <w:r w:rsidRPr="00631DDC">
              <w:rPr>
                <w:sz w:val="24"/>
                <w:szCs w:val="24"/>
              </w:rPr>
              <w:t xml:space="preserve"> р-н, </w:t>
            </w:r>
            <w:proofErr w:type="spellStart"/>
            <w:r w:rsidRPr="00631DDC">
              <w:rPr>
                <w:sz w:val="24"/>
                <w:szCs w:val="24"/>
              </w:rPr>
              <w:t>Пенский</w:t>
            </w:r>
            <w:proofErr w:type="spellEnd"/>
            <w:r w:rsidRPr="00631DDC">
              <w:rPr>
                <w:sz w:val="24"/>
                <w:szCs w:val="24"/>
              </w:rPr>
              <w:t xml:space="preserve"> р-н.</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31 833,33</w:t>
            </w:r>
          </w:p>
        </w:tc>
      </w:tr>
      <w:tr w:rsidR="00631DDC" w:rsidRPr="00631DDC" w:rsidTr="001A065C">
        <w:trPr>
          <w:trHeight w:val="503"/>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32 500,00</w:t>
            </w:r>
          </w:p>
        </w:tc>
      </w:tr>
      <w:tr w:rsidR="00631DDC" w:rsidRPr="00631DDC" w:rsidTr="001A2D48">
        <w:trPr>
          <w:trHeight w:val="882"/>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13</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highlight w:val="cyan"/>
                <w:lang w:eastAsia="en-US"/>
              </w:rPr>
            </w:pPr>
            <w:proofErr w:type="gramStart"/>
            <w:r w:rsidRPr="00631DDC">
              <w:rPr>
                <w:bCs/>
                <w:sz w:val="24"/>
                <w:szCs w:val="24"/>
              </w:rPr>
              <w:t>Сергиев Посад</w:t>
            </w:r>
            <w:r w:rsidR="008E47FB">
              <w:rPr>
                <w:bCs/>
                <w:sz w:val="24"/>
                <w:szCs w:val="24"/>
              </w:rPr>
              <w:t xml:space="preserve">, Орехово-Зуево,  Воскресенск, Егорьевск, </w:t>
            </w:r>
            <w:r w:rsidRPr="00631DDC">
              <w:rPr>
                <w:bCs/>
                <w:sz w:val="24"/>
                <w:szCs w:val="24"/>
              </w:rPr>
              <w:t>Коломна, Серпухо</w:t>
            </w:r>
            <w:r w:rsidR="008E47FB">
              <w:rPr>
                <w:bCs/>
                <w:sz w:val="24"/>
                <w:szCs w:val="24"/>
              </w:rPr>
              <w:t xml:space="preserve">в, </w:t>
            </w:r>
            <w:proofErr w:type="spellStart"/>
            <w:r w:rsidR="008E47FB">
              <w:rPr>
                <w:bCs/>
                <w:sz w:val="24"/>
                <w:szCs w:val="24"/>
              </w:rPr>
              <w:t>Наро-Фоминск</w:t>
            </w:r>
            <w:proofErr w:type="spellEnd"/>
            <w:r w:rsidR="008E47FB">
              <w:rPr>
                <w:bCs/>
                <w:sz w:val="24"/>
                <w:szCs w:val="24"/>
              </w:rPr>
              <w:t xml:space="preserve">,  Волоколамск, </w:t>
            </w:r>
            <w:r w:rsidRPr="00631DDC">
              <w:rPr>
                <w:bCs/>
                <w:sz w:val="24"/>
                <w:szCs w:val="24"/>
              </w:rPr>
              <w:t>Дмитров, Мо</w:t>
            </w:r>
            <w:r w:rsidR="008E47FB">
              <w:rPr>
                <w:bCs/>
                <w:sz w:val="24"/>
                <w:szCs w:val="24"/>
              </w:rPr>
              <w:t xml:space="preserve">жайск,  Ногинск, Электросталь, </w:t>
            </w:r>
            <w:r w:rsidRPr="00631DDC">
              <w:rPr>
                <w:bCs/>
                <w:sz w:val="24"/>
                <w:szCs w:val="24"/>
              </w:rPr>
              <w:t xml:space="preserve">Ступино, Чехов, Руза, Черноголовка, </w:t>
            </w:r>
            <w:proofErr w:type="spellStart"/>
            <w:r w:rsidRPr="00631DDC">
              <w:rPr>
                <w:bCs/>
                <w:sz w:val="24"/>
                <w:szCs w:val="24"/>
              </w:rPr>
              <w:t>Луховицы</w:t>
            </w:r>
            <w:proofErr w:type="spellEnd"/>
            <w:r w:rsidRPr="00631DDC">
              <w:rPr>
                <w:bCs/>
                <w:sz w:val="24"/>
                <w:szCs w:val="24"/>
              </w:rPr>
              <w:t xml:space="preserve">, Пушкино, Щелково, Старая </w:t>
            </w:r>
            <w:proofErr w:type="spellStart"/>
            <w:r w:rsidRPr="00631DDC">
              <w:rPr>
                <w:bCs/>
                <w:sz w:val="24"/>
                <w:szCs w:val="24"/>
              </w:rPr>
              <w:t>купавна</w:t>
            </w:r>
            <w:proofErr w:type="spellEnd"/>
            <w:r w:rsidRPr="00631DDC">
              <w:rPr>
                <w:bCs/>
                <w:sz w:val="24"/>
                <w:szCs w:val="24"/>
              </w:rPr>
              <w:t>.</w:t>
            </w:r>
            <w:proofErr w:type="gramEnd"/>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30 666,66</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highlight w:val="cyan"/>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31 333,33</w:t>
            </w:r>
          </w:p>
        </w:tc>
      </w:tr>
      <w:tr w:rsidR="00631DDC" w:rsidRPr="00631DDC" w:rsidTr="001A065C">
        <w:trPr>
          <w:trHeight w:val="267"/>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14</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highlight w:val="cyan"/>
                <w:lang w:eastAsia="en-US"/>
              </w:rPr>
            </w:pPr>
            <w:proofErr w:type="spellStart"/>
            <w:r w:rsidRPr="00631DDC">
              <w:rPr>
                <w:bCs/>
                <w:color w:val="000000"/>
                <w:sz w:val="24"/>
                <w:szCs w:val="24"/>
              </w:rPr>
              <w:t>Клинский</w:t>
            </w:r>
            <w:proofErr w:type="spellEnd"/>
            <w:r w:rsidRPr="00631DDC">
              <w:rPr>
                <w:bCs/>
                <w:color w:val="000000"/>
                <w:sz w:val="24"/>
                <w:szCs w:val="24"/>
              </w:rPr>
              <w:t xml:space="preserve"> район</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16 000,00</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16 666,66</w:t>
            </w:r>
          </w:p>
        </w:tc>
      </w:tr>
      <w:tr w:rsidR="00631DDC" w:rsidRPr="00631DDC" w:rsidTr="001A065C">
        <w:trPr>
          <w:trHeight w:val="220"/>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15</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roofErr w:type="spellStart"/>
            <w:r w:rsidRPr="00631DDC">
              <w:rPr>
                <w:bCs/>
                <w:color w:val="000000"/>
                <w:sz w:val="24"/>
                <w:szCs w:val="24"/>
              </w:rPr>
              <w:t>Солнечногорский</w:t>
            </w:r>
            <w:proofErr w:type="spellEnd"/>
            <w:r w:rsidRPr="00631DDC">
              <w:rPr>
                <w:bCs/>
                <w:color w:val="000000"/>
                <w:sz w:val="24"/>
                <w:szCs w:val="24"/>
              </w:rPr>
              <w:t xml:space="preserve"> район</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18 833,33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19 500,00</w:t>
            </w:r>
          </w:p>
        </w:tc>
      </w:tr>
      <w:tr w:rsidR="00631DDC" w:rsidRPr="00631DDC" w:rsidTr="001A065C">
        <w:trPr>
          <w:trHeight w:val="258"/>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16</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bCs/>
                <w:color w:val="000000"/>
                <w:sz w:val="24"/>
                <w:szCs w:val="24"/>
              </w:rPr>
              <w:t>Город Клин Московской области</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13 833,33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14 333,33</w:t>
            </w:r>
          </w:p>
        </w:tc>
      </w:tr>
      <w:tr w:rsidR="00631DDC" w:rsidRPr="00631DDC" w:rsidTr="001A065C">
        <w:trPr>
          <w:trHeight w:val="224"/>
        </w:trPr>
        <w:tc>
          <w:tcPr>
            <w:tcW w:w="1023" w:type="dxa"/>
            <w:vMerge w:val="restart"/>
            <w:shd w:val="clear" w:color="auto" w:fill="FFFFFF" w:themeFill="background1"/>
            <w:vAlign w:val="center"/>
          </w:tcPr>
          <w:p w:rsidR="00631DDC" w:rsidRPr="00631DDC" w:rsidRDefault="00631DDC" w:rsidP="00631DDC">
            <w:pPr>
              <w:ind w:firstLine="0"/>
              <w:jc w:val="center"/>
              <w:rPr>
                <w:sz w:val="24"/>
                <w:szCs w:val="24"/>
              </w:rPr>
            </w:pPr>
            <w:r w:rsidRPr="00631DDC">
              <w:rPr>
                <w:rFonts w:eastAsiaTheme="minorHAnsi"/>
                <w:sz w:val="24"/>
                <w:szCs w:val="24"/>
                <w:lang w:eastAsia="en-US"/>
              </w:rPr>
              <w:t>Зона 17</w:t>
            </w:r>
          </w:p>
        </w:tc>
        <w:tc>
          <w:tcPr>
            <w:tcW w:w="5244" w:type="dxa"/>
            <w:vMerge w:val="restart"/>
            <w:shd w:val="clear" w:color="auto" w:fill="FFFFFF" w:themeFill="background1"/>
            <w:vAlign w:val="center"/>
          </w:tcPr>
          <w:p w:rsidR="00631DDC" w:rsidRPr="00631DDC" w:rsidRDefault="00631DDC" w:rsidP="00631DDC">
            <w:pPr>
              <w:autoSpaceDE w:val="0"/>
              <w:autoSpaceDN w:val="0"/>
              <w:adjustRightInd w:val="0"/>
              <w:ind w:firstLine="0"/>
              <w:jc w:val="both"/>
              <w:rPr>
                <w:rFonts w:eastAsiaTheme="minorHAnsi"/>
                <w:sz w:val="24"/>
                <w:szCs w:val="24"/>
                <w:lang w:eastAsia="en-US"/>
              </w:rPr>
            </w:pPr>
            <w:r w:rsidRPr="00631DDC">
              <w:rPr>
                <w:bCs/>
                <w:color w:val="000000"/>
                <w:sz w:val="24"/>
                <w:szCs w:val="24"/>
              </w:rPr>
              <w:t>Город Солнечногорск Московской области</w:t>
            </w: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16 833,33</w:t>
            </w:r>
          </w:p>
        </w:tc>
      </w:tr>
      <w:tr w:rsidR="00631DDC" w:rsidRPr="00631DDC" w:rsidTr="001A065C">
        <w:trPr>
          <w:trHeight w:val="305"/>
        </w:trPr>
        <w:tc>
          <w:tcPr>
            <w:tcW w:w="1023" w:type="dxa"/>
            <w:vMerge/>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p>
        </w:tc>
        <w:tc>
          <w:tcPr>
            <w:tcW w:w="5244" w:type="dxa"/>
            <w:vMerge/>
            <w:shd w:val="clear" w:color="auto" w:fill="FFFFFF" w:themeFill="background1"/>
            <w:vAlign w:val="center"/>
          </w:tcPr>
          <w:p w:rsidR="00631DDC" w:rsidRPr="00631DDC" w:rsidRDefault="00631DDC" w:rsidP="00631DDC">
            <w:pPr>
              <w:autoSpaceDE w:val="0"/>
              <w:autoSpaceDN w:val="0"/>
              <w:adjustRightInd w:val="0"/>
              <w:ind w:firstLine="0"/>
              <w:rPr>
                <w:rFonts w:eastAsiaTheme="minorHAnsi"/>
                <w:sz w:val="24"/>
                <w:szCs w:val="24"/>
                <w:lang w:eastAsia="en-US"/>
              </w:rPr>
            </w:pPr>
          </w:p>
        </w:tc>
        <w:tc>
          <w:tcPr>
            <w:tcW w:w="1560" w:type="dxa"/>
            <w:shd w:val="clear" w:color="auto" w:fill="FFFFFF" w:themeFill="background1"/>
            <w:vAlign w:val="center"/>
          </w:tcPr>
          <w:p w:rsidR="00631DDC" w:rsidRPr="00631DDC" w:rsidRDefault="00631DDC" w:rsidP="00631DDC">
            <w:pPr>
              <w:autoSpaceDE w:val="0"/>
              <w:autoSpaceDN w:val="0"/>
              <w:adjustRightInd w:val="0"/>
              <w:ind w:firstLine="0"/>
              <w:jc w:val="center"/>
              <w:rPr>
                <w:rFonts w:eastAsiaTheme="minorHAnsi"/>
                <w:sz w:val="24"/>
                <w:szCs w:val="24"/>
                <w:lang w:eastAsia="en-US"/>
              </w:rPr>
            </w:pPr>
            <w:r w:rsidRPr="00631DDC">
              <w:rPr>
                <w:rFonts w:eastAsiaTheme="minorHAnsi"/>
                <w:sz w:val="24"/>
                <w:szCs w:val="24"/>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631DDC" w:rsidRPr="00631DDC" w:rsidRDefault="00631DDC" w:rsidP="00631DDC">
            <w:pPr>
              <w:ind w:firstLine="0"/>
              <w:jc w:val="center"/>
              <w:rPr>
                <w:sz w:val="24"/>
                <w:szCs w:val="24"/>
              </w:rPr>
            </w:pPr>
            <w:r w:rsidRPr="00631DDC">
              <w:rPr>
                <w:sz w:val="24"/>
                <w:szCs w:val="24"/>
              </w:rPr>
              <w:t>17 333,33</w:t>
            </w:r>
          </w:p>
        </w:tc>
      </w:tr>
    </w:tbl>
    <w:p w:rsidR="00C1280E" w:rsidRDefault="00C1280E" w:rsidP="00C1280E">
      <w:pPr>
        <w:jc w:val="both"/>
        <w:rPr>
          <w:b/>
        </w:rPr>
      </w:pPr>
    </w:p>
    <w:p w:rsidR="001A6A65" w:rsidRDefault="001A6A65" w:rsidP="00C1280E">
      <w:pPr>
        <w:jc w:val="both"/>
        <w:rPr>
          <w:szCs w:val="28"/>
        </w:rPr>
      </w:pPr>
      <w:r>
        <w:rPr>
          <w:b/>
        </w:rPr>
        <w:t xml:space="preserve">2. </w:t>
      </w:r>
      <w:r w:rsidRPr="001A6A65">
        <w:t>В Та</w:t>
      </w:r>
      <w:r>
        <w:t xml:space="preserve">блице № 2 «Дополнительные услуги» </w:t>
      </w:r>
      <w:r>
        <w:rPr>
          <w:szCs w:val="28"/>
        </w:rPr>
        <w:t>Приложения № 1 к Техническому заданию Документации о закупке и в Таблице № 2 «Дополнительные услуги»</w:t>
      </w:r>
      <w:r>
        <w:rPr>
          <w:b/>
        </w:rPr>
        <w:t xml:space="preserve"> </w:t>
      </w:r>
      <w:r>
        <w:rPr>
          <w:szCs w:val="28"/>
        </w:rPr>
        <w:t>Приложения № 6 к проекту договора (Приложение № 4 к Документации о закупке):</w:t>
      </w:r>
    </w:p>
    <w:p w:rsidR="001A6A65" w:rsidRDefault="001A6A65" w:rsidP="00C1280E">
      <w:pPr>
        <w:jc w:val="both"/>
        <w:rPr>
          <w:bCs/>
          <w:szCs w:val="28"/>
        </w:rPr>
      </w:pPr>
      <w:r>
        <w:rPr>
          <w:szCs w:val="28"/>
        </w:rPr>
        <w:t xml:space="preserve">- п.1 дополнить следующим текстом: </w:t>
      </w:r>
      <w:r w:rsidRPr="001A6A65">
        <w:rPr>
          <w:szCs w:val="28"/>
        </w:rPr>
        <w:t>«</w:t>
      </w:r>
      <w:r w:rsidRPr="001A6A65">
        <w:rPr>
          <w:bCs/>
          <w:szCs w:val="28"/>
        </w:rPr>
        <w:t>Норма времени на загрузку/выгрузку контейнера</w:t>
      </w:r>
      <w:r>
        <w:rPr>
          <w:bCs/>
          <w:szCs w:val="28"/>
        </w:rPr>
        <w:t xml:space="preserve"> составляет 2 (два) часа незави</w:t>
      </w:r>
      <w:r w:rsidR="00EA0118">
        <w:rPr>
          <w:bCs/>
          <w:szCs w:val="28"/>
        </w:rPr>
        <w:t>си</w:t>
      </w:r>
      <w:r>
        <w:rPr>
          <w:bCs/>
          <w:szCs w:val="28"/>
        </w:rPr>
        <w:t>мо от типоразмера контейнера»</w:t>
      </w:r>
      <w:r w:rsidR="00EA0118">
        <w:rPr>
          <w:bCs/>
          <w:szCs w:val="28"/>
        </w:rPr>
        <w:t xml:space="preserve"> и изложить в следующей редакции</w:t>
      </w:r>
      <w:r w:rsidR="001A2D48">
        <w:rPr>
          <w:bCs/>
          <w:szCs w:val="28"/>
        </w:rPr>
        <w:t>:</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519"/>
        <w:gridCol w:w="1567"/>
        <w:gridCol w:w="1986"/>
      </w:tblGrid>
      <w:tr w:rsidR="00EA0118" w:rsidRPr="00EA0118" w:rsidTr="00A26F28">
        <w:tc>
          <w:tcPr>
            <w:tcW w:w="709" w:type="dxa"/>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EA0118">
            <w:pPr>
              <w:tabs>
                <w:tab w:val="left" w:pos="0"/>
              </w:tabs>
              <w:ind w:firstLine="0"/>
              <w:jc w:val="center"/>
              <w:rPr>
                <w:b/>
                <w:sz w:val="24"/>
                <w:szCs w:val="24"/>
              </w:rPr>
            </w:pPr>
            <w:r w:rsidRPr="00EA0118">
              <w:rPr>
                <w:b/>
                <w:sz w:val="24"/>
                <w:szCs w:val="24"/>
              </w:rPr>
              <w:t>№ п/п</w:t>
            </w:r>
          </w:p>
        </w:tc>
        <w:tc>
          <w:tcPr>
            <w:tcW w:w="5519" w:type="dxa"/>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EA0118">
            <w:pPr>
              <w:tabs>
                <w:tab w:val="left" w:pos="0"/>
              </w:tabs>
              <w:ind w:firstLine="0"/>
              <w:jc w:val="center"/>
              <w:rPr>
                <w:b/>
                <w:sz w:val="24"/>
                <w:szCs w:val="24"/>
              </w:rPr>
            </w:pPr>
            <w:r w:rsidRPr="00EA0118">
              <w:rPr>
                <w:b/>
                <w:sz w:val="24"/>
                <w:szCs w:val="24"/>
              </w:rPr>
              <w:t xml:space="preserve">Наименование </w:t>
            </w:r>
            <w:proofErr w:type="gramStart"/>
            <w:r w:rsidRPr="00EA0118">
              <w:rPr>
                <w:b/>
                <w:sz w:val="24"/>
                <w:szCs w:val="24"/>
              </w:rPr>
              <w:t>дополнительных</w:t>
            </w:r>
            <w:proofErr w:type="gramEnd"/>
          </w:p>
          <w:p w:rsidR="00EA0118" w:rsidRPr="00EA0118" w:rsidRDefault="00EA0118" w:rsidP="00EA0118">
            <w:pPr>
              <w:tabs>
                <w:tab w:val="left" w:pos="0"/>
              </w:tabs>
              <w:ind w:firstLine="0"/>
              <w:jc w:val="center"/>
              <w:rPr>
                <w:b/>
                <w:sz w:val="24"/>
                <w:szCs w:val="24"/>
              </w:rPr>
            </w:pPr>
            <w:r w:rsidRPr="00EA0118">
              <w:rPr>
                <w:b/>
                <w:sz w:val="24"/>
                <w:szCs w:val="24"/>
              </w:rPr>
              <w:t>услуг</w:t>
            </w:r>
          </w:p>
        </w:tc>
        <w:tc>
          <w:tcPr>
            <w:tcW w:w="1567" w:type="dxa"/>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EA0118">
            <w:pPr>
              <w:tabs>
                <w:tab w:val="left" w:pos="0"/>
              </w:tabs>
              <w:ind w:firstLine="0"/>
              <w:jc w:val="center"/>
              <w:rPr>
                <w:b/>
                <w:sz w:val="24"/>
                <w:szCs w:val="24"/>
              </w:rPr>
            </w:pPr>
            <w:r w:rsidRPr="00EA0118">
              <w:rPr>
                <w:b/>
                <w:sz w:val="24"/>
                <w:szCs w:val="24"/>
              </w:rPr>
              <w:t>Стоимость</w:t>
            </w:r>
          </w:p>
          <w:p w:rsidR="00EA0118" w:rsidRPr="00EA0118" w:rsidRDefault="00EA0118" w:rsidP="00EA0118">
            <w:pPr>
              <w:tabs>
                <w:tab w:val="left" w:pos="0"/>
              </w:tabs>
              <w:ind w:firstLine="0"/>
              <w:jc w:val="center"/>
              <w:rPr>
                <w:b/>
                <w:sz w:val="24"/>
                <w:szCs w:val="24"/>
              </w:rPr>
            </w:pPr>
            <w:r w:rsidRPr="00EA0118">
              <w:rPr>
                <w:b/>
                <w:sz w:val="24"/>
                <w:szCs w:val="24"/>
              </w:rPr>
              <w:t>в руб. без НДС</w:t>
            </w:r>
          </w:p>
          <w:p w:rsidR="00EA0118" w:rsidRPr="00EA0118" w:rsidRDefault="00EA0118" w:rsidP="00EA0118">
            <w:pPr>
              <w:tabs>
                <w:tab w:val="left" w:pos="0"/>
              </w:tabs>
              <w:ind w:firstLine="0"/>
              <w:jc w:val="center"/>
              <w:rPr>
                <w:b/>
                <w:sz w:val="24"/>
                <w:szCs w:val="24"/>
              </w:rPr>
            </w:pPr>
            <w:r w:rsidRPr="00EA0118">
              <w:rPr>
                <w:b/>
                <w:sz w:val="24"/>
                <w:szCs w:val="24"/>
              </w:rPr>
              <w:t>20-фут</w:t>
            </w:r>
          </w:p>
          <w:p w:rsidR="00EA0118" w:rsidRPr="00EA0118" w:rsidRDefault="00EA0118" w:rsidP="00EA0118">
            <w:pPr>
              <w:tabs>
                <w:tab w:val="left" w:pos="0"/>
              </w:tabs>
              <w:ind w:firstLine="0"/>
              <w:jc w:val="center"/>
              <w:rPr>
                <w:b/>
                <w:sz w:val="24"/>
                <w:szCs w:val="24"/>
              </w:rPr>
            </w:pPr>
            <w:r w:rsidRPr="00EA0118">
              <w:rPr>
                <w:b/>
                <w:sz w:val="24"/>
                <w:szCs w:val="24"/>
              </w:rPr>
              <w:t>контейнер</w:t>
            </w:r>
          </w:p>
        </w:tc>
        <w:tc>
          <w:tcPr>
            <w:tcW w:w="1986" w:type="dxa"/>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EA0118">
            <w:pPr>
              <w:tabs>
                <w:tab w:val="left" w:pos="0"/>
              </w:tabs>
              <w:ind w:firstLine="0"/>
              <w:jc w:val="center"/>
              <w:rPr>
                <w:b/>
                <w:sz w:val="24"/>
                <w:szCs w:val="24"/>
              </w:rPr>
            </w:pPr>
            <w:r w:rsidRPr="00EA0118">
              <w:rPr>
                <w:b/>
                <w:sz w:val="24"/>
                <w:szCs w:val="24"/>
              </w:rPr>
              <w:t>Стоимость</w:t>
            </w:r>
          </w:p>
          <w:p w:rsidR="00EA0118" w:rsidRPr="00EA0118" w:rsidRDefault="00EA0118" w:rsidP="00EA0118">
            <w:pPr>
              <w:tabs>
                <w:tab w:val="left" w:pos="0"/>
              </w:tabs>
              <w:ind w:firstLine="0"/>
              <w:jc w:val="center"/>
              <w:rPr>
                <w:b/>
                <w:sz w:val="24"/>
                <w:szCs w:val="24"/>
              </w:rPr>
            </w:pPr>
            <w:r w:rsidRPr="00EA0118">
              <w:rPr>
                <w:b/>
                <w:sz w:val="24"/>
                <w:szCs w:val="24"/>
              </w:rPr>
              <w:t>в руб. без НДС</w:t>
            </w:r>
          </w:p>
          <w:p w:rsidR="00EA0118" w:rsidRPr="00EA0118" w:rsidRDefault="00EA0118" w:rsidP="00EA0118">
            <w:pPr>
              <w:tabs>
                <w:tab w:val="left" w:pos="0"/>
              </w:tabs>
              <w:ind w:firstLine="0"/>
              <w:jc w:val="center"/>
              <w:rPr>
                <w:b/>
                <w:sz w:val="24"/>
                <w:szCs w:val="24"/>
              </w:rPr>
            </w:pPr>
            <w:r w:rsidRPr="00EA0118">
              <w:rPr>
                <w:b/>
                <w:sz w:val="24"/>
                <w:szCs w:val="24"/>
              </w:rPr>
              <w:t>40-фут</w:t>
            </w:r>
          </w:p>
          <w:p w:rsidR="00EA0118" w:rsidRPr="00EA0118" w:rsidRDefault="00EA0118" w:rsidP="00EA0118">
            <w:pPr>
              <w:tabs>
                <w:tab w:val="left" w:pos="0"/>
              </w:tabs>
              <w:ind w:firstLine="0"/>
              <w:jc w:val="center"/>
              <w:rPr>
                <w:b/>
                <w:sz w:val="24"/>
                <w:szCs w:val="24"/>
              </w:rPr>
            </w:pPr>
            <w:r w:rsidRPr="00EA0118">
              <w:rPr>
                <w:b/>
                <w:sz w:val="24"/>
                <w:szCs w:val="24"/>
              </w:rPr>
              <w:t>контейнер</w:t>
            </w:r>
          </w:p>
        </w:tc>
      </w:tr>
      <w:tr w:rsidR="00EA0118" w:rsidRPr="00EA0118" w:rsidTr="002568ED">
        <w:tc>
          <w:tcPr>
            <w:tcW w:w="709" w:type="dxa"/>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EA0118">
            <w:pPr>
              <w:tabs>
                <w:tab w:val="left" w:pos="0"/>
              </w:tabs>
              <w:spacing w:line="276" w:lineRule="auto"/>
              <w:ind w:firstLine="0"/>
              <w:jc w:val="center"/>
              <w:rPr>
                <w:sz w:val="24"/>
                <w:szCs w:val="24"/>
              </w:rPr>
            </w:pPr>
            <w:r w:rsidRPr="00EA0118">
              <w:rPr>
                <w:sz w:val="24"/>
                <w:szCs w:val="24"/>
              </w:rPr>
              <w:t>1.</w:t>
            </w:r>
          </w:p>
        </w:tc>
        <w:tc>
          <w:tcPr>
            <w:tcW w:w="5519" w:type="dxa"/>
            <w:tcBorders>
              <w:top w:val="single" w:sz="4" w:space="0" w:color="000000"/>
              <w:left w:val="single" w:sz="4" w:space="0" w:color="000000"/>
              <w:bottom w:val="single" w:sz="4" w:space="0" w:color="000000"/>
              <w:right w:val="single" w:sz="4" w:space="0" w:color="000000"/>
            </w:tcBorders>
          </w:tcPr>
          <w:p w:rsidR="00EA0118" w:rsidRPr="00EA0118" w:rsidRDefault="00EA0118" w:rsidP="00EA0118">
            <w:pPr>
              <w:tabs>
                <w:tab w:val="left" w:pos="0"/>
              </w:tabs>
              <w:ind w:firstLine="0"/>
              <w:jc w:val="both"/>
              <w:rPr>
                <w:sz w:val="24"/>
                <w:szCs w:val="24"/>
              </w:rPr>
            </w:pPr>
            <w:r w:rsidRPr="00EA0118">
              <w:rPr>
                <w:sz w:val="24"/>
                <w:szCs w:val="24"/>
              </w:rPr>
              <w:t xml:space="preserve">Работа автомобиля сверх норматива. </w:t>
            </w:r>
          </w:p>
          <w:p w:rsidR="00EA0118" w:rsidRPr="00EA0118" w:rsidRDefault="00EA0118" w:rsidP="00EA0118">
            <w:pPr>
              <w:tabs>
                <w:tab w:val="left" w:pos="0"/>
              </w:tabs>
              <w:ind w:firstLine="0"/>
              <w:jc w:val="both"/>
              <w:rPr>
                <w:sz w:val="24"/>
                <w:szCs w:val="24"/>
              </w:rPr>
            </w:pPr>
            <w:r w:rsidRPr="00EA0118">
              <w:rPr>
                <w:bCs/>
                <w:sz w:val="24"/>
                <w:szCs w:val="24"/>
              </w:rPr>
              <w:t>Норма времени на загрузку/выгрузку контейнера составляет 2 (два) часа независимо от типоразмера контейнера.</w:t>
            </w:r>
          </w:p>
          <w:p w:rsidR="00EA0118" w:rsidRPr="00EA0118" w:rsidRDefault="00EA0118" w:rsidP="00EA0118">
            <w:pPr>
              <w:tabs>
                <w:tab w:val="left" w:pos="0"/>
              </w:tabs>
              <w:ind w:firstLine="0"/>
              <w:jc w:val="both"/>
              <w:rPr>
                <w:sz w:val="24"/>
                <w:szCs w:val="24"/>
              </w:rPr>
            </w:pPr>
            <w:r w:rsidRPr="00EA0118">
              <w:rPr>
                <w:sz w:val="24"/>
                <w:szCs w:val="24"/>
              </w:rPr>
              <w:t xml:space="preserve">В случае </w:t>
            </w:r>
            <w:proofErr w:type="gramStart"/>
            <w:r w:rsidRPr="00EA0118">
              <w:rPr>
                <w:sz w:val="24"/>
                <w:szCs w:val="24"/>
              </w:rPr>
              <w:t>простоя</w:t>
            </w:r>
            <w:proofErr w:type="gramEnd"/>
            <w:r w:rsidRPr="00EA0118">
              <w:rPr>
                <w:sz w:val="24"/>
                <w:szCs w:val="24"/>
              </w:rPr>
              <w:t xml:space="preserve"> а/т по вине Клиента сверх </w:t>
            </w:r>
            <w:r w:rsidRPr="00EA0118">
              <w:rPr>
                <w:sz w:val="24"/>
                <w:szCs w:val="24"/>
              </w:rPr>
              <w:lastRenderedPageBreak/>
              <w:t>установленного срока первые 15 минут простоя не оплачиваются Клиентом, свыше 15 минут оплачиваются, как полный час простоя.</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EA0118" w:rsidRPr="00EA0118" w:rsidRDefault="00EA0118" w:rsidP="002568ED">
            <w:pPr>
              <w:tabs>
                <w:tab w:val="left" w:pos="0"/>
              </w:tabs>
              <w:spacing w:line="276" w:lineRule="auto"/>
              <w:ind w:firstLine="0"/>
              <w:jc w:val="center"/>
              <w:rPr>
                <w:sz w:val="24"/>
                <w:szCs w:val="24"/>
              </w:rPr>
            </w:pPr>
            <w:r w:rsidRPr="00EA0118">
              <w:rPr>
                <w:sz w:val="24"/>
                <w:szCs w:val="24"/>
              </w:rPr>
              <w:lastRenderedPageBreak/>
              <w:t>Независимо от ти</w:t>
            </w:r>
            <w:r w:rsidR="00273D99">
              <w:rPr>
                <w:sz w:val="24"/>
                <w:szCs w:val="24"/>
              </w:rPr>
              <w:t>па контейнера за 1 (один) час 1 </w:t>
            </w:r>
            <w:r w:rsidRPr="00EA0118">
              <w:rPr>
                <w:sz w:val="24"/>
                <w:szCs w:val="24"/>
              </w:rPr>
              <w:t>333,33</w:t>
            </w:r>
          </w:p>
        </w:tc>
      </w:tr>
    </w:tbl>
    <w:p w:rsidR="00EA0118" w:rsidRDefault="00EA0118" w:rsidP="00C1280E">
      <w:pPr>
        <w:jc w:val="both"/>
        <w:rPr>
          <w:bCs/>
          <w:szCs w:val="28"/>
        </w:rPr>
      </w:pPr>
    </w:p>
    <w:p w:rsidR="0069475B" w:rsidRPr="0069475B" w:rsidRDefault="0069475B" w:rsidP="00220F34">
      <w:pPr>
        <w:suppressAutoHyphens/>
        <w:ind w:firstLine="0"/>
        <w:rPr>
          <w:bCs/>
          <w:snapToGrid/>
          <w:szCs w:val="28"/>
          <w:lang w:eastAsia="ar-SA"/>
        </w:rPr>
      </w:pPr>
      <w:r>
        <w:rPr>
          <w:bCs/>
          <w:snapToGrid/>
          <w:szCs w:val="28"/>
          <w:lang w:eastAsia="ar-SA"/>
        </w:rPr>
        <w:tab/>
      </w:r>
      <w:r w:rsidRPr="0069475B">
        <w:rPr>
          <w:bCs/>
          <w:snapToGrid/>
          <w:szCs w:val="28"/>
          <w:lang w:eastAsia="ar-SA"/>
        </w:rPr>
        <w:t>Далее по тексту.</w:t>
      </w:r>
    </w:p>
    <w:p w:rsidR="0069475B" w:rsidRPr="008964F3" w:rsidRDefault="0069475B" w:rsidP="00220F34">
      <w:pPr>
        <w:suppressAutoHyphens/>
        <w:ind w:firstLine="0"/>
        <w:rPr>
          <w:b/>
          <w:bCs/>
          <w:snapToGrid/>
          <w:szCs w:val="28"/>
          <w:u w:val="single"/>
          <w:lang w:eastAsia="ar-SA"/>
        </w:rPr>
      </w:pPr>
    </w:p>
    <w:p w:rsidR="00273D99" w:rsidRDefault="00860811" w:rsidP="00860811">
      <w:pPr>
        <w:tabs>
          <w:tab w:val="left" w:pos="993"/>
        </w:tabs>
        <w:jc w:val="both"/>
        <w:rPr>
          <w:szCs w:val="28"/>
        </w:rPr>
      </w:pPr>
      <w:r>
        <w:rPr>
          <w:b/>
          <w:szCs w:val="28"/>
        </w:rPr>
        <w:t xml:space="preserve">3. </w:t>
      </w:r>
      <w:r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 xml:space="preserve">среди субъектов МСП </w:t>
      </w:r>
      <w:r w:rsidR="0088275D" w:rsidRPr="0088275D">
        <w:br/>
        <w:t>№ РО-МСП-НКПОКТ-18-0029</w:t>
      </w:r>
      <w:r w:rsidRPr="001B2E19">
        <w:rPr>
          <w:szCs w:val="28"/>
        </w:rPr>
        <w:t xml:space="preserve">, внесены изменения в документацию о закупке. </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88275D" w:rsidRPr="0088275D">
        <w:t>среди субъектов МСП № РО-МСП-НКПОКТ-18-0029</w:t>
      </w:r>
      <w:r w:rsidRPr="001B2E19">
        <w:rPr>
          <w:szCs w:val="28"/>
        </w:rPr>
        <w:t>, раз</w:t>
      </w:r>
      <w:r w:rsidR="0069475B">
        <w:rPr>
          <w:szCs w:val="28"/>
        </w:rPr>
        <w:t>мещена на официальном сайте ПАО </w:t>
      </w:r>
      <w:r w:rsidRPr="001B2E19">
        <w:rPr>
          <w:szCs w:val="28"/>
        </w:rPr>
        <w:t>«ТрансКонтейнер» (</w:t>
      </w:r>
      <w:hyperlink r:id="rId6"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7"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E7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7"/>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3"/>
  </w:num>
  <w:num w:numId="12">
    <w:abstractNumId w:val="34"/>
  </w:num>
  <w:num w:numId="13">
    <w:abstractNumId w:val="45"/>
  </w:num>
  <w:num w:numId="14">
    <w:abstractNumId w:val="29"/>
  </w:num>
  <w:num w:numId="15">
    <w:abstractNumId w:val="59"/>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7"/>
  </w:num>
  <w:num w:numId="24">
    <w:abstractNumId w:val="10"/>
  </w:num>
  <w:num w:numId="25">
    <w:abstractNumId w:val="55"/>
  </w:num>
  <w:num w:numId="26">
    <w:abstractNumId w:val="53"/>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8"/>
  </w:num>
  <w:num w:numId="35">
    <w:abstractNumId w:val="11"/>
  </w:num>
  <w:num w:numId="36">
    <w:abstractNumId w:val="6"/>
  </w:num>
  <w:num w:numId="37">
    <w:abstractNumId w:val="33"/>
  </w:num>
  <w:num w:numId="38">
    <w:abstractNumId w:val="52"/>
  </w:num>
  <w:num w:numId="39">
    <w:abstractNumId w:val="20"/>
  </w:num>
  <w:num w:numId="40">
    <w:abstractNumId w:val="62"/>
  </w:num>
  <w:num w:numId="41">
    <w:abstractNumId w:val="9"/>
  </w:num>
  <w:num w:numId="42">
    <w:abstractNumId w:val="30"/>
  </w:num>
  <w:num w:numId="43">
    <w:abstractNumId w:val="66"/>
  </w:num>
  <w:num w:numId="44">
    <w:abstractNumId w:val="49"/>
  </w:num>
  <w:num w:numId="45">
    <w:abstractNumId w:val="64"/>
  </w:num>
  <w:num w:numId="46">
    <w:abstractNumId w:val="42"/>
  </w:num>
  <w:num w:numId="47">
    <w:abstractNumId w:val="56"/>
  </w:num>
  <w:num w:numId="48">
    <w:abstractNumId w:val="16"/>
  </w:num>
  <w:num w:numId="49">
    <w:abstractNumId w:val="43"/>
  </w:num>
  <w:num w:numId="50">
    <w:abstractNumId w:val="24"/>
  </w:num>
  <w:num w:numId="51">
    <w:abstractNumId w:val="31"/>
  </w:num>
  <w:num w:numId="52">
    <w:abstractNumId w:val="65"/>
  </w:num>
  <w:num w:numId="53">
    <w:abstractNumId w:val="54"/>
  </w:num>
  <w:num w:numId="54">
    <w:abstractNumId w:val="36"/>
  </w:num>
  <w:num w:numId="55">
    <w:abstractNumId w:val="57"/>
  </w:num>
  <w:num w:numId="56">
    <w:abstractNumId w:val="17"/>
  </w:num>
  <w:num w:numId="57">
    <w:abstractNumId w:val="61"/>
  </w:num>
  <w:num w:numId="58">
    <w:abstractNumId w:val="51"/>
  </w:num>
  <w:num w:numId="59">
    <w:abstractNumId w:val="60"/>
  </w:num>
  <w:num w:numId="60">
    <w:abstractNumId w:val="8"/>
  </w:num>
  <w:num w:numId="61">
    <w:abstractNumId w:val="4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1532"/>
    <w:rsid w:val="005821DE"/>
    <w:rsid w:val="005824C6"/>
    <w:rsid w:val="005825F5"/>
    <w:rsid w:val="00583AE4"/>
    <w:rsid w:val="00585221"/>
    <w:rsid w:val="00593856"/>
    <w:rsid w:val="00597604"/>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A29E-A206-412E-B3EE-8E1BA207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679</Words>
  <Characters>3874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24</cp:revision>
  <cp:lastPrinted>2018-01-15T11:39:00Z</cp:lastPrinted>
  <dcterms:created xsi:type="dcterms:W3CDTF">2018-03-07T11:34:00Z</dcterms:created>
  <dcterms:modified xsi:type="dcterms:W3CDTF">2018-10-31T16:02:00Z</dcterms:modified>
</cp:coreProperties>
</file>