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21A6" w:rsidR="00AE21A6" w:rsidP="00AE21A6" w:rsidRDefault="00AF4708" w14:paraId="642C9275" w14:textId="77777777">
      <w:pPr>
        <w:ind w:firstLine="0"/>
        <w:jc w:val="center"/>
        <w:rPr>
          <w:b/>
          <w:sz w:val="32"/>
          <w:szCs w:val="32"/>
        </w:rPr>
      </w:pPr>
      <w:r>
        <w:rPr>
          <w:b/>
          <w:sz w:val="32"/>
          <w:szCs w:val="32"/>
        </w:rPr>
        <w:t xml:space="preserve">Извещение о проведении закупки </w:t>
      </w:r>
    </w:p>
    <w:p>
      <w:pPr>
        <w:ind w:firstLine="0"/>
        <w:jc w:val="center"/>
        <w:rPr>
          <w:b/>
          <w:sz w:val="32"/>
          <w:szCs w:val="32"/>
        </w:rPr>
      </w:pPr>
      <w:r>
        <w:rPr>
          <w:b/>
          <w:sz w:val="32"/>
          <w:szCs w:val="32"/>
        </w:rPr>
        <w:t xml:space="preserve">способом размещения оферты № </w:t>
      </w:r>
      <w:bookmarkStart w:name="OLE_LINK16" w:id="0"/>
      <w:bookmarkStart w:name="OLE_LINK17" w:id="1"/>
      <w:bookmarkStart w:name="OLE_LINK29" w:id="2"/>
      <w:bookmarkStart w:name="OLE_LINK30" w:id="3"/>
      <w:bookmarkStart w:name="OLE_LINK43" w:id="4"/>
      <w:bookmarkStart w:name="OLE_LINK44" w:id="5"/>
      <w:bookmarkStart w:name="OLE_LINK55" w:id="6"/>
      <w:bookmarkStart w:name="OLE_LINK56" w:id="7"/>
      <w:proofErr w:type="gramStart"/>
      <w:r>
        <w:rPr>
          <w:b/>
          <w:sz w:val="32"/>
          <w:szCs w:val="32"/>
        </w:rPr>
        <w:t>РО-НКППРИВ-19-0004</w:t>
      </w:r>
      <w:proofErr w:type="gramEnd"/>
      <w:bookmarkEnd w:id="0"/>
      <w:bookmarkEnd w:id="1"/>
      <w:bookmarkEnd w:id="2"/>
      <w:bookmarkEnd w:id="3"/>
      <w:bookmarkEnd w:id="4"/>
      <w:bookmarkEnd w:id="5"/>
      <w:bookmarkEnd w:id="6"/>
      <w:bookmarkEnd w:id="7"/>
    </w:p>
    <w:p w:rsidR="00AF4708" w:rsidP="00AF4708" w:rsidRDefault="00AF4708" w14:paraId="79D6A3DD" w14:textId="77777777">
      <w:pPr>
        <w:jc w:val="both"/>
      </w:pPr>
    </w:p>
    <w:p>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Приволжской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name="OLE_LINK18" w:id="8"/>
      <w:bookmarkStart w:name="OLE_LINK19" w:id="9"/>
      <w:bookmarkStart w:name="OLE_LINK31" w:id="10"/>
      <w:bookmarkStart w:name="OLE_LINK45" w:id="11"/>
      <w:bookmarkStart w:name="OLE_LINK46" w:id="12"/>
      <w:bookmarkStart w:name="OLE_LINK57" w:id="13"/>
      <w:bookmarkStart w:name="OLE_LINK58" w:id="14"/>
      <w:bookmarkStart w:name="OLE_LINK71" w:id="15"/>
      <w:bookmarkStart w:name="OLE_LINK72" w:id="16"/>
      <w:bookmarkStart w:name="OLE_LINK85" w:id="17"/>
      <w:bookmarkStart w:name="OLE_LINK86" w:id="18"/>
      <w:bookmarkStart w:name="OLE_LINK98" w:id="19"/>
      <w:bookmarkStart w:name="OLE_LINK99" w:id="20"/>
      <w:r>
        <w:rPr>
          <w:b/>
          <w:snapToGrid w:val="0"/>
          <w:szCs w:val="20"/>
        </w:rPr>
        <w:t xml:space="preserve"> </w:t>
      </w:r>
      <w:proofErr w:type="spellStart"/>
      <w:proofErr w:type="spellEnd"/>
      <w:proofErr w:type="gramStart"/>
      <w:r>
        <w:rPr>
          <w:snapToGrid w:val="0"/>
          <w:szCs w:val="20"/>
        </w:rPr>
        <w:t>Закупка способом размещения оферты № РО-НКППРИВ-19-0004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roofErr w:type="gramEnd"/>
      <w:proofErr w:type="spellStart"/>
      <w:proofErr w:type="spellEnd"/>
      <w:r>
        <w:rPr>
          <w:snapToGrid w:val="0"/>
          <w:szCs w:val="20"/>
        </w:rPr>
        <w:t xml:space="preserve"> (далее – Размещение оферты).</w:t>
      </w:r>
      <w:proofErr w:type="spellStart"/>
      <w:proofErr w:type="spellEnd"/>
      <w:bookmarkEnd w:id="8"/>
      <w:bookmarkEnd w:id="9"/>
      <w:bookmarkEnd w:id="10"/>
      <w:bookmarkEnd w:id="11"/>
      <w:bookmarkEnd w:id="12"/>
      <w:bookmarkEnd w:id="13"/>
      <w:bookmarkEnd w:id="14"/>
      <w:bookmarkEnd w:id="15"/>
      <w:bookmarkEnd w:id="16"/>
      <w:bookmarkEnd w:id="17"/>
      <w:bookmarkEnd w:id="18"/>
      <w:bookmarkEnd w:id="19"/>
      <w:bookmarkEnd w:id="20"/>
    </w:p>
    <w:p w:rsidRPr="00C64E36" w:rsidR="00876894" w:rsidP="00876894" w:rsidRDefault="00876894" w14:paraId="79D6A3E1" w14:textId="1A71F2C8">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410017, г. Саратов, ул. Шелковичная, д. 11/15</w:t>
      </w:r>
      <w:proofErr w:type="spellStart"/>
      <w:proofErr w:type="spellEnd"/>
      <w:r>
        <w:t>.</w:t>
      </w:r>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Корытников Александр Викторович</w:t>
      </w:r>
      <w:proofErr w:type="spellStart"/>
      <w:proofErr w:type="spellEnd"/>
    </w:p>
    <w:p>
      <w:pPr>
        <w:jc w:val="both"/>
      </w:pPr>
      <w:r>
        <w:t xml:space="preserve">Адрес электронной почты: </w:t>
      </w:r>
      <w:r>
        <w:t xml:space="preserve">korytnikovav@trcont.ru</w:t>
      </w:r>
      <w:proofErr w:type="spellStart"/>
      <w:proofErr w:type="spellEnd"/>
    </w:p>
    <w:p>
      <w:pPr>
        <w:jc w:val="both"/>
      </w:pPr>
      <w:r>
        <w:t xml:space="preserve">Телефон: </w:t>
      </w:r>
      <w:r>
        <w:t xml:space="preserve">+7(495)7881717(4657)</w:t>
      </w:r>
      <w:proofErr w:type="spellStart"/>
      <w:proofErr w:type="spellEnd"/>
      <w:r>
        <w:t>.</w:t>
      </w:r>
    </w:p>
    <w:p w:rsidR="00CB1C18" w:rsidP="00AF4708" w:rsidRDefault="00CB1C18" w14:paraId="79D6A3E9" w14:textId="77777777">
      <w:pPr>
        <w:jc w:val="both"/>
      </w:pPr>
    </w:p>
    <w:p>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w:t>
      </w:r>
      <w:r>
        <w:rPr>
          <w:szCs w:val="28"/>
        </w:rPr>
        <w:lastRenderedPageBreak/>
      </w:r>
      <w:r>
        <w:rPr>
          <w:szCs w:val="28"/>
        </w:rPr>
        <w:t xml:space="preserve">группа Конкурсной комиссии филиала ПАО «ТрансКонтейнер» на </w:t>
      </w:r>
      <w:r>
        <w:t>Приволжской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410017, г. Саратов, ул. Шелковичная, д. 11/15</w:t>
      </w:r>
      <w:proofErr w:type="spellStart"/>
      <w:proofErr w:type="spellEnd"/>
      <w:proofErr w:type="gramStart"/>
      <w:r>
        <w:rPr>
          <w:szCs w:val="28"/>
        </w:rPr>
        <w:t xml:space="preserve">.</w:t>
      </w:r>
    </w:p>
    <w:p>
      <w:pPr>
        <w:pStyle w:val="1"/>
        <w:ind w:firstLine="708"/>
        <w:rPr>
          <w:szCs w:val="28"/>
        </w:rPr>
      </w:pPr>
      <w:r>
        <w:rPr>
          <w:b/>
          <w:szCs w:val="28"/>
        </w:rPr>
        <w:tab/>
      </w: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roofErr w:type="spellStart"/>
      <w:proofErr w:type="gramStart"/>
      <w:proofErr w:type="gramEnd"/>
      <w:proofErr w:type="spellEnd"/>
    </w:p>
    <w:p>
      <w:pPr>
        <w:jc w:val="both"/>
        <w:rPr>
          <w:szCs w:val="28"/>
        </w:rPr>
      </w:pPr>
      <w:r>
        <w:rPr>
          <w:szCs w:val="28"/>
        </w:rPr>
        <w:t xml:space="preserve">Начальная (максимальная) цена договора: </w:t>
      </w:r>
      <w:proofErr w:type="spellStart"/>
      <w:proofErr w:type="spellEnd"/>
      <w:r>
        <w:rPr>
          <w:szCs w:val="28"/>
        </w:rPr>
        <w:t>2490000 (два миллиона четыреста девяносто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Начальная (максимальная) цена договора составляет 2490000 (два миллиона четыреста девяносто тысяч) рублей 00 копеек с учетом всех налогов (кроме НДС). Максимальная (совокупная) стоимость всех договоров на выполнение работ по демонтажу, разборке и разделке вагонов составляет 2 490 000,00  (два миллиона четыреста девяносто)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разделки в металлолом одного вагона составляет 38 250,00 (тридцать восемь тысяч двести пятьдесят)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proofErr w:type="gramEnd"/>
      <w:proofErr w:type="spellStart"/>
      <w:proofErr w:type="spellEnd"/>
    </w:p>
    <w:p w:rsidR="00124964" w:rsidP="002C0F1D" w:rsidRDefault="00124964" w14:paraId="79D6A3FD" w14:textId="71368174">
      <w:pPr>
        <w:jc w:val="both"/>
        <w:rPr>
          <w:szCs w:val="28"/>
        </w:rPr>
      </w:pPr>
      <w:r>
        <w:rPr>
          <w:szCs w:val="28"/>
        </w:rPr>
        <w:t>Информация о товаре, работе, услуге:</w:t>
      </w:r>
    </w:p>
    <w:tbl>
      <w:tblPr>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1701"/>
        <w:gridCol w:w="1843"/>
        <w:gridCol w:w="1559"/>
        <w:gridCol w:w="1701"/>
        <w:gridCol w:w="2410"/>
      </w:tblGrid>
      <w:tr w:rsidRPr="00BD24C5" w:rsidR="00B00867" w:rsidTr="0027543E" w14:paraId="7AF9F99F" w14:textId="77777777">
        <w:tc>
          <w:tcPr>
            <w:tcW w:w="70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A48917E" w14:textId="77777777">
            <w:pPr>
              <w:snapToGrid w:val="0"/>
              <w:ind w:firstLine="0"/>
              <w:rPr>
                <w:snapToGrid/>
                <w:sz w:val="24"/>
                <w:szCs w:val="24"/>
              </w:rPr>
            </w:pPr>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5D027D37" w14:textId="77777777">
            <w:pPr>
              <w:snapToGrid w:val="0"/>
              <w:ind w:firstLine="0"/>
              <w:rPr>
                <w:snapToGrid/>
                <w:sz w:val="24"/>
                <w:szCs w:val="24"/>
              </w:rPr>
            </w:pPr>
            <w:r>
              <w:rPr>
                <w:snapToGrid/>
                <w:sz w:val="24"/>
                <w:szCs w:val="24"/>
              </w:rPr>
              <w:t>Классификация по ОКПД 2</w:t>
            </w:r>
          </w:p>
        </w:tc>
        <w:tc>
          <w:tcPr>
            <w:tcW w:w="1843"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38A9D24" w14:textId="77777777">
            <w:pPr>
              <w:snapToGrid w:val="0"/>
              <w:ind w:firstLine="0"/>
              <w:rPr>
                <w:snapToGrid/>
                <w:sz w:val="24"/>
                <w:szCs w:val="24"/>
              </w:rPr>
            </w:pPr>
            <w:r>
              <w:rPr>
                <w:snapToGrid/>
                <w:sz w:val="24"/>
                <w:szCs w:val="24"/>
              </w:rPr>
              <w:t>Классификация по ОКВЭД 2</w:t>
            </w:r>
          </w:p>
        </w:tc>
        <w:tc>
          <w:tcPr>
            <w:tcW w:w="155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37BB5914"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2955166E" w14:textId="77777777">
            <w:pPr>
              <w:snapToGrid w:val="0"/>
              <w:ind w:firstLine="0"/>
              <w:rPr>
                <w:snapToGrid/>
                <w:sz w:val="24"/>
                <w:szCs w:val="24"/>
              </w:rPr>
            </w:pPr>
            <w:r>
              <w:rPr>
                <w:snapToGrid/>
                <w:sz w:val="24"/>
                <w:szCs w:val="24"/>
              </w:rPr>
              <w:t>Ед.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04A3C59" w14:textId="77777777">
            <w:pPr>
              <w:snapToGrid w:val="0"/>
              <w:ind w:firstLine="0"/>
              <w:rPr>
                <w:snapToGrid/>
                <w:sz w:val="24"/>
                <w:szCs w:val="24"/>
              </w:rPr>
            </w:pPr>
            <w:r>
              <w:rPr>
                <w:snapToGrid/>
                <w:sz w:val="24"/>
                <w:szCs w:val="24"/>
              </w:rPr>
              <w:t>Дополнительные сведения</w:t>
            </w:r>
          </w:p>
        </w:tc>
      </w:tr>
      <w:tr w:rsidRPr="00F26920" w:rsidR="00B00867" w:rsidTr="0027543E" w14:paraId="3BA7B0EF" w14:textId="77777777">
        <w:tc>
          <w:tcPr>
            <w:tcW w:w="709"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38.3</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38.31</w:t>
            </w:r>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211</w:t>
            </w:r>
            <w:proofErr w:type="spellStart"/>
            <w:proofErr w:type="gramStart"/>
            <w:proofErr w:type="gramEnd"/>
            <w:proofErr w:type="spellEnd"/>
          </w:p>
        </w:tc>
      </w:tr>
    </w:tbl>
    <w:p>
      <w:pPr>
        <w:spacing w:before="120"/>
        <w:jc w:val="both"/>
        <w:rPr>
          <w:szCs w:val="28"/>
        </w:rPr>
      </w:pPr>
      <w:r>
        <w:rPr>
          <w:szCs w:val="28"/>
        </w:rPr>
        <w:t xml:space="preserve">Место поставки товара, выполнения работ, оказания услуг: </w:t>
      </w:r>
      <w:r>
        <w:rPr>
          <w:szCs w:val="28"/>
        </w:rPr>
        <w:t xml:space="preserve">Саратовская обл</w:t>
      </w:r>
      <w:proofErr w:type="spellStart"/>
      <w:proofErr w:type="gramStart"/>
      <w:proofErr w:type="gramEnd"/>
      <w:proofErr w:type="spellEnd"/>
    </w:p>
    <w:p w:rsidR="008C7B27" w:rsidP="00CB1C18" w:rsidRDefault="008C7B27" w14:paraId="79D6A411" w14:textId="77777777">
      <w:pPr>
        <w:jc w:val="both"/>
        <w:rPr>
          <w:szCs w:val="28"/>
        </w:rPr>
      </w:pPr>
    </w:p>
    <w:p>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color w:val="0000FF"/>
            <w:szCs w:val="28"/>
            <w:u w:val="single"/>
          </w:rPr>
          <w:t>w</w:t>
        </w:r>
        <w:r>
          <w:rPr>
            <w:color w:val="0000FF"/>
            <w:szCs w:val="28"/>
            <w:u w:val="single"/>
          </w:rPr>
          <w:t>w</w:t>
        </w:r>
        <w:r>
          <w:rPr>
            <w:color w:val="0000FF"/>
            <w:szCs w:val="28"/>
            <w:u w:val="single"/>
          </w:rPr>
          <w:t>w</w:t>
        </w:r>
        <w:r>
          <w:rPr>
            <w:color w:val="0000FF"/>
            <w:szCs w:val="28"/>
            <w:u w:val="single"/>
          </w:rPr>
          <w:t>.</w:t>
        </w:r>
        <w:r>
          <w:rPr>
            <w:color w:val="0000FF"/>
            <w:szCs w:val="28"/>
            <w:u w:val="single"/>
          </w:rPr>
          <w:t>t</w:t>
        </w:r>
        <w:r>
          <w:rPr>
            <w:color w:val="0000FF"/>
            <w:szCs w:val="28"/>
            <w:u w:val="single"/>
          </w:rPr>
          <w:t>r</w:t>
        </w:r>
        <w:r>
          <w:rPr>
            <w:color w:val="0000FF"/>
            <w:szCs w:val="28"/>
            <w:u w:val="single"/>
          </w:rPr>
          <w:t>c</w:t>
        </w:r>
        <w:r>
          <w:rPr>
            <w:color w:val="0000FF"/>
            <w:szCs w:val="28"/>
            <w:u w:val="single"/>
          </w:rPr>
          <w:t>o</w:t>
        </w:r>
        <w:r>
          <w:rPr>
            <w:color w:val="0000FF"/>
            <w:szCs w:val="28"/>
            <w:u w:val="single"/>
          </w:rPr>
          <w:t>n</w:t>
        </w:r>
        <w:r>
          <w:rPr>
            <w:color w:val="0000FF"/>
            <w:szCs w:val="28"/>
            <w:u w:val="single"/>
          </w:rPr>
          <w:t>t</w:t>
        </w:r>
        <w:r>
          <w:rPr>
            <w:color w:val="0000FF"/>
            <w:szCs w:val="28"/>
            <w:u w:val="single"/>
          </w:rPr>
          <w:t>.</w:t>
        </w:r>
        <w:r>
          <w:rPr>
            <w:color w:val="0000FF"/>
            <w:szCs w:val="28"/>
            <w:u w:val="single"/>
          </w:rPr>
          <w:t>c</w:t>
        </w:r>
        <w:r>
          <w:rPr>
            <w:color w:val="0000FF"/>
            <w:szCs w:val="28"/>
            <w:u w:val="single"/>
          </w:rPr>
          <w:t>o</w:t>
        </w:r>
        <w:r>
          <w:rPr>
            <w:color w:val="0000FF"/>
            <w:szCs w:val="28"/>
            <w:u w:val="single"/>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color w:val="0000FF"/>
            <w:u w:val="single"/>
          </w:rPr>
          <w:t>w</w:t>
        </w:r>
        <w:r>
          <w:rPr>
            <w:color w:val="0000FF"/>
            <w:u w:val="single"/>
          </w:rPr>
          <w:t>w</w:t>
        </w:r>
        <w:r>
          <w:rPr>
            <w:color w:val="0000FF"/>
            <w:u w:val="single"/>
          </w:rPr>
          <w:t>w</w:t>
        </w:r>
        <w:r>
          <w:rPr>
            <w:color w:val="0000FF"/>
            <w:u w:val="single"/>
          </w:rPr>
          <w:t>.</w:t>
        </w:r>
        <w:r>
          <w:rPr>
            <w:color w:val="0000FF"/>
            <w:u w:val="single"/>
          </w:rPr>
          <w:t>z</w:t>
        </w:r>
        <w:r>
          <w:rPr>
            <w:color w:val="0000FF"/>
            <w:u w:val="single"/>
          </w:rPr>
          <w:t>a</w:t>
        </w:r>
        <w:r>
          <w:rPr>
            <w:color w:val="0000FF"/>
            <w:u w:val="single"/>
          </w:rPr>
          <w:t>k</w:t>
        </w:r>
        <w:r>
          <w:rPr>
            <w:color w:val="0000FF"/>
            <w:u w:val="single"/>
          </w:rPr>
          <w:t>u</w:t>
        </w:r>
        <w:r>
          <w:rPr>
            <w:color w:val="0000FF"/>
            <w:u w:val="single"/>
          </w:rPr>
          <w:t>p</w:t>
        </w:r>
        <w:r>
          <w:rPr>
            <w:color w:val="0000FF"/>
            <w:u w:val="single"/>
          </w:rPr>
          <w:t>k</w:t>
        </w:r>
        <w:r>
          <w:rPr>
            <w:color w:val="0000FF"/>
            <w:u w:val="single"/>
          </w:rPr>
          <w:t>i</w:t>
        </w:r>
        <w:r>
          <w:rPr>
            <w:color w:val="0000FF"/>
            <w:u w:val="single"/>
          </w:rPr>
          <w:t>.</w:t>
        </w:r>
        <w:r>
          <w:rPr>
            <w:color w:val="0000FF"/>
            <w:u w:val="single"/>
          </w:rPr>
          <w:t>g</w:t>
        </w:r>
        <w:r>
          <w:rPr>
            <w:color w:val="0000FF"/>
            <w:u w:val="single"/>
          </w:rPr>
          <w:t>o</w:t>
        </w:r>
        <w:r>
          <w:rPr>
            <w:color w:val="0000FF"/>
            <w:u w:val="single"/>
          </w:rPr>
          <w:t>v</w:t>
        </w:r>
        <w:r>
          <w:rPr>
            <w:color w:val="0000FF"/>
            <w:u w:val="single"/>
          </w:rPr>
          <w:t>.</w:t>
        </w:r>
        <w:r>
          <w:rPr>
            <w:color w:val="0000FF"/>
            <w:u w:val="single"/>
          </w:rPr>
          <w:t>r</w:t>
        </w:r>
        <w:r>
          <w:rPr>
            <w:color w:val="0000FF"/>
            <w:u w:val="single"/>
          </w:rPr>
          <w:t>u</w:t>
        </w:r>
      </w:hyperlink>
      <w:r>
        <w:t>) (далее – ЕИС).</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roofErr w:type="gramStart"/>
      <w:proofErr w:type="gramEnd"/>
    </w:p>
    <w:p w:rsidRPr="00BD1223" w:rsidR="00EF64B9" w:rsidP="00AE21A6" w:rsidRDefault="00EF64B9" w14:paraId="1B85507C" w14:textId="77777777">
      <w:pPr>
        <w:jc w:val="both"/>
        <w:rPr>
          <w:b/>
          <w:i/>
          <w:szCs w:val="28"/>
        </w:rPr>
      </w:pPr>
    </w:p>
    <w:p w:rsidR="00EF64B9" w:rsidP="00EF64B9" w:rsidRDefault="00EF64B9" w14:paraId="69228443" w14:textId="77777777">
      <w:pPr>
        <w:jc w:val="both"/>
        <w:rPr>
          <w:b/>
        </w:rPr>
      </w:pPr>
      <w:r>
        <w:rPr>
          <w:b/>
        </w:rPr>
        <w:t>Размер, порядок и сроки внесения платы за предоставление документации о закупке:</w:t>
      </w:r>
    </w:p>
    <w:p>
      <w:pPr>
        <w:jc w:val="both"/>
        <w:rPr>
          <w:b/>
        </w:rPr>
      </w:pPr>
      <w:r>
        <w:rPr>
          <w:szCs w:val="28"/>
        </w:rPr>
        <w:t xml:space="preserve">Плата не требуется</w:t>
      </w:r>
      <w:proofErr w:type="spellStart"/>
      <w:proofErr w:type="spellEnd"/>
      <w:r>
        <w:rPr>
          <w:szCs w:val="28"/>
        </w:rPr>
        <w:t>.</w:t>
      </w:r>
    </w:p>
    <w:p w:rsidR="00EF64B9" w:rsidP="00EF64B9" w:rsidRDefault="00EF64B9" w14:paraId="79212ED5" w14:textId="77777777">
      <w:pPr>
        <w:jc w:val="both"/>
        <w:rPr>
          <w:b/>
        </w:rPr>
      </w:pPr>
    </w:p>
    <w:p w:rsidRPr="00AE21A6" w:rsidR="00AE21A6" w:rsidP="00EF64B9" w:rsidRDefault="00AE21A6" w14:paraId="0C56B23D" w14:textId="7D6C8975">
      <w:pPr>
        <w:jc w:val="both"/>
        <w:rPr>
          <w:b/>
        </w:rPr>
      </w:pPr>
      <w:r>
        <w:rPr>
          <w:b/>
        </w:rPr>
        <w:t>Информация о порядке проведения Размещения оферты:</w:t>
      </w:r>
    </w:p>
    <w:p w:rsidRPr="00AE21A6" w:rsidR="00AE21A6" w:rsidP="00AE21A6" w:rsidRDefault="00AE21A6" w14:paraId="75008245" w14:textId="18BC04FE">
      <w:pPr>
        <w:jc w:val="both"/>
      </w:pPr>
      <w:r>
        <w:lastRenderedPageBreak/>
      </w: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pPr>
        <w:jc w:val="both"/>
        <w:rPr>
          <w:b/>
        </w:rPr>
      </w:pPr>
      <w:r>
        <w:tab/>
      </w:r>
      <w:bookmarkStart w:name="OLE_LINK8" w:id="22"/>
      <w:bookmarkStart w:name="OLE_LINK9" w:id="23"/>
      <w:bookmarkStart w:name="OLE_LINK23" w:id="24"/>
      <w:bookmarkStart w:name="OLE_LINK24" w:id="25"/>
      <w:bookmarkStart w:name="OLE_LINK37" w:id="26"/>
      <w:bookmarkStart w:name="OLE_LINK60" w:id="27"/>
      <w:bookmarkStart w:name="OLE_LINK61" w:id="28"/>
      <w:bookmarkStart w:name="OLE_LINK75" w:id="29"/>
      <w:bookmarkStart w:name="OLE_LINK76" w:id="30"/>
      <w:bookmarkStart w:name="OLE_LINK89" w:id="31"/>
      <w:bookmarkStart w:name="OLE_LINK90" w:id="32"/>
      <w:proofErr w:type="gramStart"/>
      <w:r>
        <w:rPr>
          <w:szCs w:val="28"/>
        </w:rPr>
        <w:t>«14» июня 2019 г. 08 час. 00 мин.</w:t>
      </w:r>
      <w:proofErr w:type="gramEnd"/>
      <w:proofErr w:type="spellStart"/>
      <w:proofErr w:type="spellEnd"/>
      <w:bookmarkEnd w:id="22"/>
      <w:bookmarkEnd w:id="23"/>
      <w:bookmarkEnd w:id="24"/>
      <w:bookmarkEnd w:id="25"/>
      <w:bookmarkEnd w:id="26"/>
      <w:bookmarkEnd w:id="27"/>
      <w:bookmarkEnd w:id="28"/>
      <w:bookmarkEnd w:id="29"/>
      <w:bookmarkEnd w:id="30"/>
      <w:bookmarkEnd w:id="31"/>
      <w:bookmarkEnd w:id="32"/>
    </w:p>
    <w:p>
      <w:pPr>
        <w:ind w:firstLine="0"/>
        <w:jc w:val="both"/>
      </w:pPr>
      <w:r>
        <w:t xml:space="preserve">Место: </w:t>
      </w:r>
      <w:r>
        <w:t xml:space="preserve">Российская Федерация, 410017, г. Саратов, ул. Шелковичная, д. 11/15</w:t>
      </w:r>
      <w:proofErr w:type="spellStart"/>
      <w:proofErr w:type="spellEnd"/>
    </w:p>
    <w:p w:rsidRPr="00EF64B9" w:rsidR="00EF64B9" w:rsidP="00EF64B9" w:rsidRDefault="00EF64B9" w14:paraId="74ABC5A0" w14:textId="77777777">
      <w:pPr>
        <w:jc w:val="both"/>
      </w:pPr>
      <w:r>
        <w:rPr>
          <w:b/>
        </w:rPr>
        <w:t>Вскрытие конвертов с Заявками</w:t>
      </w:r>
      <w:r>
        <w:t>:</w:t>
      </w:r>
    </w:p>
    <w:p>
      <w:pPr>
        <w:jc w:val="both"/>
        <w:rPr>
          <w:b/>
        </w:rPr>
      </w:pPr>
      <w:r>
        <w:tab/>
      </w:r>
      <w:bookmarkStart w:name="OLE_LINK77" w:id="33"/>
      <w:bookmarkStart w:name="OLE_LINK78" w:id="34"/>
      <w:bookmarkStart w:name="OLE_LINK91" w:id="35"/>
      <w:bookmarkStart w:name="OLE_LINK62" w:id="36"/>
      <w:bookmarkStart w:name="OLE_LINK63" w:id="37"/>
      <w:proofErr w:type="gramStart"/>
      <w:r>
        <w:t/>
      </w:r>
      <w:proofErr w:type="gramEnd"/>
      <w:proofErr w:type="spellStart"/>
      <w:proofErr w:type="spellEnd"/>
      <w:bookmarkEnd w:id="33"/>
      <w:bookmarkEnd w:id="34"/>
      <w:bookmarkEnd w:id="35"/>
    </w:p>
    <w:bookmarkEnd w:id="36"/>
    <w:bookmarkEnd w:id="37"/>
    <w:p>
      <w:pPr>
        <w:ind w:firstLine="0"/>
        <w:jc w:val="both"/>
        <w:rPr>
          <w:b/>
        </w:rPr>
      </w:pPr>
      <w:r>
        <w:t xml:space="preserve">Место: </w:t>
      </w:r>
      <w:r>
        <w:t xml:space="preserve">Российская Федерация, 410017, г. Саратов, ул. Шелковичная, д. 11/15</w:t>
      </w:r>
      <w:proofErr w:type="spellStart"/>
      <w:proofErr w:type="spellEnd"/>
    </w:p>
    <w:p>
      <w:pPr>
        <w:jc w:val="both"/>
        <w:rPr>
          <w:rFonts w:eastAsia="Arial"/>
          <w:snapToGrid/>
          <w:szCs w:val="28"/>
          <w:lang w:eastAsia="ar-SA"/>
        </w:rPr>
      </w:pPr>
      <w:r>
        <w:rPr>
          <w:b/>
          <w:szCs w:val="28"/>
        </w:rPr>
        <w:t>Рассмотрение, оценка и сопоставление Заяво</w:t>
      </w:r>
      <w:proofErr w:type="gramStart"/>
      <w:r>
        <w:rPr>
          <w:b/>
          <w:szCs w:val="28"/>
        </w:rPr>
        <w:t>к</w:t>
      </w:r>
      <w:bookmarkStart w:name="OLE_LINK4" w:id="38"/>
      <w:bookmarkStart w:name="OLE_LINK5" w:id="39"/>
      <w:bookmarkStart w:name="OLE_LINK6" w:id="40"/>
      <w:proofErr w:type="spellStart"/>
      <w:proofErr w:type="spellEnd"/>
      <w:bookmarkEnd w:id="38"/>
      <w:bookmarkEnd w:id="39"/>
      <w:bookmarkEnd w:id="40"/>
      <w:r>
        <w:rPr>
          <w:b/>
          <w:szCs w:val="28"/>
        </w:rPr>
        <w:t>:</w:t>
      </w:r>
    </w:p>
    <w:p>
      <w:pPr>
        <w:tabs>
          <w:tab w:val="clear" w:pos="709"/>
        </w:tabs>
        <w:suppressAutoHyphens/>
        <w:jc w:val="both"/>
        <w:rPr>
          <w:rFonts w:eastAsia="Arial"/>
          <w:snapToGrid/>
          <w:szCs w:val="28"/>
          <w:lang w:eastAsia="ar-SA"/>
        </w:rPr>
      </w:pPr>
      <w:r>
        <w:rPr>
          <w:rFonts w:eastAsia="Arial"/>
          <w:snapToGrid/>
          <w:szCs w:val="28"/>
          <w:lang w:eastAsia="ar-SA"/>
        </w:rPr>
        <w:tab/>
      </w:r>
      <w:proofErr w:type="gramEnd"/>
      <w:r>
        <w:rPr>
          <w:rFonts w:eastAsia="Arial"/>
          <w:snapToGrid/>
          <w:szCs w:val="28"/>
          <w:lang w:eastAsia="ar-SA"/>
        </w:rPr>
        <w:t xml:space="preserve">«17» июня 2019 г. 10 час. 00 мин.</w:t>
      </w:r>
      <w:proofErr w:type="spellStart"/>
      <w:proofErr w:type="spellEnd"/>
    </w:p>
    <w:p>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roofErr w:type="spellStart"/>
      <w:proofErr w:type="spellEnd"/>
    </w:p>
    <w:p w:rsidRPr="00340BA5" w:rsidR="00AE21A6" w:rsidP="00AE21A6" w:rsidRDefault="00AE21A6" w14:paraId="02D5E5DF" w14:textId="77777777">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pPr>
        <w:jc w:val="both"/>
        <w:rPr>
          <w:b/>
          <w:szCs w:val="28"/>
        </w:rPr>
      </w:pPr>
      <w:r>
        <w:rPr>
          <w:b/>
          <w:szCs w:val="28"/>
        </w:rPr>
        <w:t xml:space="preserve">Подведение итогов </w:t>
      </w:r>
      <w:proofErr w:type="gramEnd"/>
      <w:proofErr w:type="spellStart"/>
      <w:proofErr w:type="spellEnd"/>
      <w:r>
        <w:rPr>
          <w:b/>
          <w:szCs w:val="28"/>
        </w:rPr>
        <w:t>не позднее:</w:t>
      </w:r>
    </w:p>
    <w:p>
      <w:pPr>
        <w:jc w:val="both"/>
        <w:rPr>
          <w:b/>
          <w:szCs w:val="28"/>
        </w:rPr>
      </w:pPr>
      <w:r>
        <w:rPr>
          <w:rFonts w:eastAsia="Arial"/>
          <w:snapToGrid/>
          <w:szCs w:val="28"/>
          <w:lang w:eastAsia="ar-SA"/>
        </w:rPr>
        <w:tab/>
      </w:r>
      <w:proofErr w:type="gramEnd"/>
      <w:r>
        <w:rPr>
          <w:szCs w:val="28"/>
        </w:rPr>
        <w:t>«18» июня 2019 г. 10 час. 00 мин.</w:t>
      </w:r>
      <w:proofErr w:type="spellStart"/>
      <w:proofErr w:type="spellEnd"/>
    </w:p>
    <w:p>
      <w:pPr>
        <w:ind w:firstLine="0"/>
        <w:jc w:val="both"/>
        <w:rPr>
          <w:snapToGrid/>
          <w:szCs w:val="28"/>
          <w:lang w:eastAsia="ar-SA"/>
        </w:rPr>
      </w:pPr>
      <w:r>
        <w:rPr>
          <w:szCs w:val="28"/>
        </w:rPr>
        <w:t xml:space="preserve">Место: </w:t>
      </w:r>
      <w:r>
        <w:t>Российская Федерация, 410017, г. Саратов, ул. Шелковичная, д. 11/15</w:t>
      </w:r>
      <w:proofErr w:type="spellStart"/>
      <w:proofErr w:type="spellEnd"/>
    </w:p>
    <w:p w:rsidRPr="00231FAA" w:rsidR="00721338" w:rsidP="00E039E3" w:rsidRDefault="00721338" w14:paraId="052DF159" w14:textId="246C407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P="00662448" w:rsidRDefault="00721338" w14:paraId="233B028C" w14:textId="77777777">
      <w:pPr>
        <w:jc w:val="both"/>
        <w:rPr>
          <w:b/>
        </w:rPr>
      </w:pPr>
    </w:p>
    <w:p w:rsidRPr="003E1E80" w:rsidR="003E1E80" w:rsidP="003E1E80" w:rsidRDefault="003E1E80" w14:paraId="28415ABC" w14:textId="3CCF4042">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Pr="003E1E80" w:rsidR="00721338" w:rsidP="003E1E80" w:rsidRDefault="003E1E80" w14:paraId="3CE127D2" w14:textId="6E429451">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P="00721338" w:rsidRDefault="003E1E80" w14:paraId="5DB16B5C" w14:textId="77777777">
      <w:pPr>
        <w:tabs>
          <w:tab w:val="left" w:pos="567"/>
        </w:tabs>
        <w:snapToGrid w:val="0"/>
        <w:ind w:firstLine="567"/>
        <w:jc w:val="both"/>
        <w:rPr>
          <w:b/>
          <w:snapToGrid/>
          <w:szCs w:val="28"/>
        </w:rPr>
      </w:pPr>
    </w:p>
    <w:p w:rsidRPr="00721338" w:rsidR="00721338" w:rsidP="00721338" w:rsidRDefault="00721338" w14:paraId="24C18ACE" w14:textId="77777777">
      <w:pPr>
        <w:tabs>
          <w:tab w:val="left" w:pos="567"/>
        </w:tabs>
        <w:snapToGrid w:val="0"/>
        <w:ind w:firstLine="567"/>
        <w:jc w:val="both"/>
        <w:rPr>
          <w:b/>
          <w:snapToGrid/>
          <w:szCs w:val="28"/>
        </w:rPr>
      </w:pPr>
      <w:r>
        <w:rPr>
          <w:b/>
          <w:snapToGrid/>
          <w:szCs w:val="28"/>
        </w:rPr>
        <w:lastRenderedPageBreak/>
      </w: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Pr="00721338" w:rsidR="00721338" w:rsidP="00721338" w:rsidRDefault="00721338" w14:paraId="2FF6C519" w14:textId="77777777">
      <w:pPr>
        <w:tabs>
          <w:tab w:val="left" w:pos="567"/>
        </w:tabs>
        <w:snapToGrid w:val="0"/>
        <w:ind w:firstLine="567"/>
        <w:jc w:val="both"/>
        <w:rPr>
          <w:b/>
          <w:snapToGrid/>
          <w:szCs w:val="28"/>
        </w:rPr>
      </w:pPr>
    </w:p>
    <w:p w:rsidRPr="00721338" w:rsidR="00721338" w:rsidP="00721338" w:rsidRDefault="00721338" w14:paraId="28F415C4" w14:textId="77777777">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Pr="00721338" w:rsidR="00721338" w:rsidP="00721338" w:rsidRDefault="00721338" w14:paraId="36F3D732" w14:textId="661094E4">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Pr="00721338" w:rsidR="00721338" w:rsidP="00721338" w:rsidRDefault="00721338" w14:paraId="43936E95" w14:textId="77777777">
      <w:pPr>
        <w:tabs>
          <w:tab w:val="left" w:pos="567"/>
        </w:tabs>
        <w:snapToGrid w:val="0"/>
        <w:ind w:firstLine="567"/>
        <w:jc w:val="both"/>
        <w:rPr>
          <w:b/>
          <w:snapToGrid/>
        </w:rPr>
      </w:pPr>
    </w:p>
    <w:p w:rsidRPr="003E1E80" w:rsidR="003E1E80" w:rsidP="00020A97" w:rsidRDefault="003E1E80" w14:paraId="6363A9D5" w14:textId="05C8DC64">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Pr="00721338" w:rsidR="00721338" w:rsidP="00721338" w:rsidRDefault="003E1E80" w14:paraId="716EBD73" w14:textId="1A471340">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Pr="00721338" w:rsid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571B8" w14:textId="77777777" w:rsidR="00105E56" w:rsidRDefault="00105E56" w:rsidP="00CB1C18">
      <w:r>
        <w:separator/>
      </w:r>
    </w:p>
  </w:endnote>
  <w:endnote w:type="continuationSeparator" w:id="0">
    <w:p w14:paraId="7F6C5A5E" w14:textId="77777777"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1F4C" w14:textId="77777777" w:rsidR="00105E56" w:rsidRDefault="00105E56" w:rsidP="00CB1C18">
      <w:r>
        <w:separator/>
      </w:r>
    </w:p>
  </w:footnote>
  <w:footnote w:type="continuationSeparator" w:id="0">
    <w:p w14:paraId="36DC5163" w14:textId="77777777"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105E56" w:rsidRDefault="00105E56">
    <w:pPr>
      <w:pStyle w:val="af0"/>
      <w:jc w:val="center"/>
    </w:pPr>
    <w:r>
      <w:fldChar w:fldCharType="begin"/>
    </w:r>
    <w:r>
      <w:instrText xml:space="preserve"> PAGE   \* MERGEFORMAT </w:instrText>
    </w:r>
    <w:r>
      <w:fldChar w:fldCharType="separate"/>
    </w:r>
    <w:r>
      <w:rPr>
        <w:noProof/>
      </w:rPr>
      <w:t>2</w:t>
    </w:r>
    <w:r>
      <w:rPr>
        <w:noProof/>
      </w:rPr>
      <w:fldChar w:fldCharType="end"/>
    </w:r>
  </w:p>
  <w:p w14:paraId="79D6A439" w14:textId="77777777"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86C32AD-E9DD-4F51-A79D-727B55EB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53</cp:revision>
  <cp:lastPrinted>2013-10-11T11:56:00Z</cp:lastPrinted>
  <dcterms:created xsi:type="dcterms:W3CDTF">2016-09-23T09:16:00Z</dcterms:created>
  <dcterms:modified xsi:type="dcterms:W3CDTF">2019-02-26T07:46:00Z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