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rsidR="0024584A" w:rsidRPr="00625041"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О РАЗМЕЩЕНИИ ЗАКАЗА № ЕП</w:t>
      </w:r>
      <w:r w:rsidR="007745A4" w:rsidRPr="00676B7E">
        <w:rPr>
          <w:rFonts w:eastAsiaTheme="majorEastAsia"/>
          <w:b/>
          <w:bCs/>
          <w:snapToGrid/>
          <w:szCs w:val="28"/>
          <w:lang w:eastAsia="en-US"/>
        </w:rPr>
        <w:t>-</w:t>
      </w:r>
      <w:r w:rsidR="00676B7E" w:rsidRPr="00676B7E">
        <w:rPr>
          <w:rFonts w:eastAsiaTheme="majorEastAsia"/>
          <w:b/>
          <w:bCs/>
          <w:snapToGrid/>
          <w:szCs w:val="28"/>
          <w:lang w:eastAsia="en-US"/>
        </w:rPr>
        <w:t>НКПКБШ</w:t>
      </w:r>
      <w:r w:rsidR="007745A4" w:rsidRPr="00676B7E">
        <w:rPr>
          <w:rFonts w:eastAsiaTheme="majorEastAsia"/>
          <w:b/>
          <w:bCs/>
          <w:snapToGrid/>
          <w:szCs w:val="28"/>
          <w:lang w:eastAsia="en-US"/>
        </w:rPr>
        <w:t>-</w:t>
      </w:r>
      <w:r w:rsidR="00EF4127">
        <w:rPr>
          <w:rFonts w:eastAsiaTheme="majorEastAsia"/>
          <w:b/>
          <w:bCs/>
          <w:snapToGrid/>
          <w:szCs w:val="28"/>
          <w:lang w:eastAsia="en-US"/>
        </w:rPr>
        <w:t>19</w:t>
      </w:r>
      <w:r w:rsidR="007745A4" w:rsidRPr="00676B7E">
        <w:rPr>
          <w:rFonts w:eastAsiaTheme="majorEastAsia"/>
          <w:b/>
          <w:bCs/>
          <w:snapToGrid/>
          <w:szCs w:val="28"/>
          <w:lang w:eastAsia="en-US"/>
        </w:rPr>
        <w:t>-</w:t>
      </w:r>
      <w:r w:rsidR="0012133A">
        <w:rPr>
          <w:rFonts w:eastAsiaTheme="majorEastAsia"/>
          <w:b/>
          <w:bCs/>
          <w:snapToGrid/>
          <w:szCs w:val="28"/>
          <w:lang w:eastAsia="en-US"/>
        </w:rPr>
        <w:t>000</w:t>
      </w:r>
      <w:r w:rsidR="007D1E9F">
        <w:rPr>
          <w:rFonts w:eastAsiaTheme="majorEastAsia"/>
          <w:b/>
          <w:bCs/>
          <w:snapToGrid/>
          <w:szCs w:val="28"/>
          <w:lang w:eastAsia="en-US"/>
        </w:rPr>
        <w:t>2</w:t>
      </w:r>
    </w:p>
    <w:p w:rsidR="0024584A" w:rsidRPr="009D7D4D" w:rsidRDefault="0024584A" w:rsidP="0024584A">
      <w:pPr>
        <w:pStyle w:val="1"/>
        <w:spacing w:before="0"/>
        <w:ind w:firstLine="0"/>
        <w:jc w:val="center"/>
        <w:rPr>
          <w:rFonts w:ascii="Times New Roman" w:hAnsi="Times New Roman" w:cs="Times New Roman"/>
          <w:color w:val="auto"/>
        </w:rPr>
      </w:pPr>
      <w:r w:rsidRPr="009D7D4D">
        <w:rPr>
          <w:rFonts w:ascii="Times New Roman" w:hAnsi="Times New Roman" w:cs="Times New Roman"/>
          <w:color w:val="auto"/>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24584A" w:rsidRPr="00CB1C18" w:rsidRDefault="00CC5E94" w:rsidP="0024584A">
      <w:pPr>
        <w:jc w:val="both"/>
      </w:pPr>
      <w:proofErr w:type="gramStart"/>
      <w:r>
        <w:t xml:space="preserve">Публичное </w:t>
      </w:r>
      <w:r w:rsidR="0024584A" w:rsidRPr="005D2E07">
        <w:t>акционерное общество «Центр по перевозке грузов в контейнерах «</w:t>
      </w:r>
      <w:proofErr w:type="spellStart"/>
      <w:r w:rsidR="0024584A" w:rsidRPr="005D2E07">
        <w:t>ТрансКонтейнер</w:t>
      </w:r>
      <w:proofErr w:type="spellEnd"/>
      <w:r w:rsidR="0024584A" w:rsidRPr="005D2E07">
        <w:t>» (</w:t>
      </w:r>
      <w:r>
        <w:t>ПАО</w:t>
      </w:r>
      <w:r w:rsidR="0024584A" w:rsidRPr="005D2E07">
        <w:t xml:space="preserve"> «</w:t>
      </w:r>
      <w:proofErr w:type="spellStart"/>
      <w:r w:rsidR="0024584A" w:rsidRPr="005D2E07">
        <w:t>ТрансКонтейнер</w:t>
      </w:r>
      <w:proofErr w:type="spellEnd"/>
      <w:r w:rsidR="0024584A" w:rsidRPr="005D2E07">
        <w:t>»),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w:t>
      </w:r>
      <w:proofErr w:type="spellStart"/>
      <w:r w:rsidR="0024584A" w:rsidRPr="00CB1C18">
        <w:t>ТрансКонтейнер</w:t>
      </w:r>
      <w:proofErr w:type="spellEnd"/>
      <w:r w:rsidR="0024584A" w:rsidRPr="00CB1C18">
        <w:t xml:space="preserve">» </w:t>
      </w:r>
      <w:r w:rsidR="00E810F0">
        <w:t>утвержденным решением совета директоров ПАО «</w:t>
      </w:r>
      <w:proofErr w:type="spellStart"/>
      <w:r w:rsidR="00E810F0">
        <w:t>ТрансКонтейнер</w:t>
      </w:r>
      <w:proofErr w:type="spellEnd"/>
      <w:r w:rsidR="00E810F0">
        <w:t>» от 2</w:t>
      </w:r>
      <w:r w:rsidR="0012133A">
        <w:t>6</w:t>
      </w:r>
      <w:r w:rsidR="00E810F0">
        <w:t xml:space="preserve"> декабря  201</w:t>
      </w:r>
      <w:r w:rsidR="0012133A">
        <w:t>8</w:t>
      </w:r>
      <w:r w:rsidR="00E810F0">
        <w:t xml:space="preserve"> г. </w:t>
      </w:r>
      <w:r w:rsidR="0024584A" w:rsidRPr="00CB1C18">
        <w:t xml:space="preserve">(далее – Положение о закупке),  проводит </w:t>
      </w:r>
      <w:r w:rsidR="0024584A">
        <w:t>размещение</w:t>
      </w:r>
      <w:proofErr w:type="gramEnd"/>
      <w:r w:rsidR="0024584A">
        <w:t xml:space="preserve"> заказа</w:t>
      </w:r>
      <w:r w:rsidR="0024584A" w:rsidRPr="00CB1C18">
        <w:t xml:space="preserve"> № </w:t>
      </w:r>
      <w:r w:rsidR="0024584A" w:rsidRPr="00676B7E">
        <w:t>ЕП</w:t>
      </w:r>
      <w:r w:rsidR="007745A4" w:rsidRPr="00676B7E">
        <w:t>-</w:t>
      </w:r>
      <w:r w:rsidR="00676B7E" w:rsidRPr="00676B7E">
        <w:t>НКПКБШ</w:t>
      </w:r>
      <w:r w:rsidR="007745A4" w:rsidRPr="00676B7E">
        <w:t>-</w:t>
      </w:r>
      <w:r w:rsidR="00676B7E" w:rsidRPr="00676B7E">
        <w:t>1</w:t>
      </w:r>
      <w:r w:rsidR="0012133A">
        <w:t>9</w:t>
      </w:r>
      <w:r w:rsidR="007745A4" w:rsidRPr="00676B7E">
        <w:t>-</w:t>
      </w:r>
      <w:r w:rsidR="00676B7E" w:rsidRPr="00676B7E">
        <w:t>000</w:t>
      </w:r>
      <w:r w:rsidR="0012133A">
        <w:t>1</w:t>
      </w:r>
      <w:r w:rsidR="0024584A" w:rsidRPr="00676B7E">
        <w:t xml:space="preserve"> на закупку товаров, выполнение работ и оказание услуг</w:t>
      </w:r>
      <w:r w:rsidR="0024584A" w:rsidRPr="009D7D4D">
        <w:t xml:space="preserve"> у единственного поставщика (исполнителя, подрядчика)  </w:t>
      </w:r>
      <w:r w:rsidR="0024584A" w:rsidRPr="00CB1C18">
        <w:t xml:space="preserve">(далее – </w:t>
      </w:r>
      <w:r w:rsidR="0024584A">
        <w:t>Заказ</w:t>
      </w:r>
      <w:r w:rsidR="0024584A" w:rsidRPr="00CB1C18">
        <w:t>).</w:t>
      </w:r>
    </w:p>
    <w:p w:rsidR="0024584A" w:rsidRDefault="0024584A" w:rsidP="0024584A">
      <w:pPr>
        <w:jc w:val="both"/>
        <w:rPr>
          <w:b/>
        </w:rPr>
      </w:pPr>
    </w:p>
    <w:p w:rsidR="0024584A" w:rsidRDefault="0024584A" w:rsidP="0024584A">
      <w:pPr>
        <w:jc w:val="both"/>
        <w:rPr>
          <w:i/>
        </w:rPr>
      </w:pPr>
      <w:r w:rsidRPr="00CB1C18">
        <w:rPr>
          <w:b/>
        </w:rPr>
        <w:t>Заказчик</w:t>
      </w:r>
      <w:r>
        <w:rPr>
          <w:b/>
        </w:rPr>
        <w:t xml:space="preserve">: </w:t>
      </w:r>
      <w:r>
        <w:t xml:space="preserve"> </w:t>
      </w:r>
      <w:r w:rsidR="00CC5E94">
        <w:t>ПАО</w:t>
      </w:r>
      <w:r>
        <w:t xml:space="preserve"> «</w:t>
      </w:r>
      <w:proofErr w:type="spellStart"/>
      <w:r>
        <w:t>ТрансКонтейнер</w:t>
      </w:r>
      <w:proofErr w:type="spellEnd"/>
      <w:r>
        <w:t>»</w:t>
      </w:r>
      <w:r w:rsidRPr="008A767E">
        <w:rPr>
          <w:i/>
        </w:rPr>
        <w:t>.</w:t>
      </w:r>
    </w:p>
    <w:p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p>
    <w:p w:rsidR="0024584A" w:rsidRDefault="0024584A" w:rsidP="0024584A">
      <w:pPr>
        <w:jc w:val="both"/>
      </w:pPr>
      <w:r>
        <w:t xml:space="preserve">Почтовый адрес: Российская Федерация, </w:t>
      </w:r>
      <w:r w:rsidRPr="008A767E">
        <w:t>125047, Мо</w:t>
      </w:r>
      <w:r>
        <w:t>сква, Оружейный переулок, д. 19.</w:t>
      </w:r>
      <w:r w:rsidRPr="008A767E">
        <w:t xml:space="preserve">  </w:t>
      </w:r>
    </w:p>
    <w:p w:rsidR="0024584A" w:rsidRDefault="0024584A" w:rsidP="0024584A">
      <w:pPr>
        <w:jc w:val="both"/>
      </w:pPr>
      <w:r>
        <w:t>Телефон: (495) 788-17-17, факс (499) 262-75-78,</w:t>
      </w:r>
      <w:r w:rsidRPr="008A767E">
        <w:t xml:space="preserve"> электронный адрес </w:t>
      </w:r>
      <w:hyperlink r:id="rId10" w:history="1">
        <w:r w:rsidR="00625041" w:rsidRPr="006E66C7">
          <w:rPr>
            <w:rStyle w:val="a6"/>
          </w:rPr>
          <w:t>zakupki@trcont.</w:t>
        </w:r>
        <w:r w:rsidR="00625041" w:rsidRPr="006E66C7">
          <w:rPr>
            <w:rStyle w:val="a6"/>
            <w:lang w:val="en-US"/>
          </w:rPr>
          <w:t>com</w:t>
        </w:r>
      </w:hyperlink>
      <w:r w:rsidR="00625041" w:rsidRPr="00625041">
        <w:t xml:space="preserve"> </w:t>
      </w:r>
      <w:r w:rsidRPr="008A767E">
        <w:t>.</w:t>
      </w:r>
    </w:p>
    <w:p w:rsidR="0024584A" w:rsidRDefault="0024584A" w:rsidP="0024584A">
      <w:pPr>
        <w:jc w:val="both"/>
      </w:pPr>
    </w:p>
    <w:p w:rsidR="0024584A" w:rsidRDefault="0024584A" w:rsidP="0024584A">
      <w:pPr>
        <w:jc w:val="both"/>
        <w:rPr>
          <w:b/>
        </w:rPr>
      </w:pPr>
      <w:r w:rsidRPr="00216833">
        <w:rPr>
          <w:b/>
        </w:rPr>
        <w:t>Контактная информация</w:t>
      </w:r>
      <w:r>
        <w:rPr>
          <w:b/>
        </w:rPr>
        <w:t xml:space="preserve"> Заказчика</w:t>
      </w:r>
    </w:p>
    <w:p w:rsidR="00676B7E" w:rsidRPr="007F56F3" w:rsidRDefault="00676B7E" w:rsidP="00676B7E">
      <w:pPr>
        <w:jc w:val="both"/>
        <w:rPr>
          <w:sz w:val="26"/>
          <w:szCs w:val="26"/>
        </w:rPr>
      </w:pPr>
      <w:r w:rsidRPr="007F56F3">
        <w:rPr>
          <w:sz w:val="26"/>
          <w:szCs w:val="26"/>
        </w:rPr>
        <w:t xml:space="preserve">Ф.И.О.: Краюшкин А.А. </w:t>
      </w:r>
    </w:p>
    <w:p w:rsidR="00676B7E" w:rsidRPr="007F56F3" w:rsidRDefault="00676B7E" w:rsidP="00676B7E">
      <w:pPr>
        <w:jc w:val="both"/>
        <w:rPr>
          <w:sz w:val="26"/>
          <w:szCs w:val="26"/>
        </w:rPr>
      </w:pPr>
      <w:r w:rsidRPr="007F56F3">
        <w:rPr>
          <w:sz w:val="26"/>
          <w:szCs w:val="26"/>
        </w:rPr>
        <w:t xml:space="preserve">Адрес электронной почты: </w:t>
      </w:r>
      <w:hyperlink r:id="rId11" w:history="1">
        <w:r w:rsidR="00625041" w:rsidRPr="006E66C7">
          <w:rPr>
            <w:rStyle w:val="a6"/>
            <w:sz w:val="26"/>
            <w:szCs w:val="26"/>
          </w:rPr>
          <w:t>KraiushkinAA@trcont.</w:t>
        </w:r>
        <w:r w:rsidR="00625041" w:rsidRPr="006E66C7">
          <w:rPr>
            <w:rStyle w:val="a6"/>
            <w:sz w:val="26"/>
            <w:szCs w:val="26"/>
            <w:lang w:val="en-US"/>
          </w:rPr>
          <w:t>com</w:t>
        </w:r>
      </w:hyperlink>
      <w:r w:rsidR="00625041" w:rsidRPr="00625041">
        <w:rPr>
          <w:sz w:val="26"/>
          <w:szCs w:val="26"/>
        </w:rPr>
        <w:t xml:space="preserve"> </w:t>
      </w:r>
      <w:r w:rsidRPr="007F56F3">
        <w:rPr>
          <w:sz w:val="26"/>
          <w:szCs w:val="26"/>
        </w:rPr>
        <w:t xml:space="preserve">. </w:t>
      </w:r>
    </w:p>
    <w:p w:rsidR="00676B7E" w:rsidRPr="007F56F3" w:rsidRDefault="0048686D" w:rsidP="00676B7E">
      <w:pPr>
        <w:jc w:val="both"/>
        <w:rPr>
          <w:sz w:val="26"/>
          <w:szCs w:val="26"/>
        </w:rPr>
      </w:pPr>
      <w:r>
        <w:rPr>
          <w:sz w:val="26"/>
          <w:szCs w:val="26"/>
        </w:rPr>
        <w:t>Телефон: (846) 303-71-10</w:t>
      </w:r>
      <w:r w:rsidR="00676B7E" w:rsidRPr="007F56F3">
        <w:rPr>
          <w:sz w:val="26"/>
          <w:szCs w:val="26"/>
        </w:rPr>
        <w:t xml:space="preserve">; </w:t>
      </w:r>
    </w:p>
    <w:p w:rsidR="0024584A" w:rsidRPr="0073728B" w:rsidRDefault="0048686D" w:rsidP="0073728B">
      <w:pPr>
        <w:jc w:val="both"/>
        <w:rPr>
          <w:sz w:val="26"/>
          <w:szCs w:val="26"/>
        </w:rPr>
      </w:pPr>
      <w:r>
        <w:rPr>
          <w:sz w:val="26"/>
          <w:szCs w:val="26"/>
        </w:rPr>
        <w:t>Факс: (846) 303-71-10</w:t>
      </w:r>
      <w:r w:rsidR="00676B7E" w:rsidRPr="007F56F3">
        <w:rPr>
          <w:sz w:val="26"/>
          <w:szCs w:val="26"/>
        </w:rPr>
        <w:t>.</w:t>
      </w:r>
    </w:p>
    <w:p w:rsidR="00676B7E" w:rsidRDefault="0024584A" w:rsidP="00676B7E">
      <w:pPr>
        <w:ind w:firstLine="851"/>
        <w:jc w:val="both"/>
        <w:rPr>
          <w:szCs w:val="28"/>
        </w:rPr>
      </w:pPr>
      <w:r>
        <w:rPr>
          <w:b/>
        </w:rPr>
        <w:t xml:space="preserve">1. </w:t>
      </w:r>
      <w:r w:rsidRPr="003927D3">
        <w:rPr>
          <w:b/>
        </w:rPr>
        <w:t xml:space="preserve">Предмет Заказа: </w:t>
      </w:r>
      <w:r w:rsidR="00676B7E" w:rsidRPr="003927D3">
        <w:rPr>
          <w:szCs w:val="28"/>
        </w:rPr>
        <w:t>Предметом заказа является</w:t>
      </w:r>
      <w:r w:rsidR="00676B7E" w:rsidRPr="002F2591">
        <w:rPr>
          <w:szCs w:val="28"/>
        </w:rPr>
        <w:t xml:space="preserve"> </w:t>
      </w:r>
      <w:r w:rsidR="00676B7E">
        <w:rPr>
          <w:szCs w:val="28"/>
        </w:rPr>
        <w:t>з</w:t>
      </w:r>
      <w:r w:rsidR="00676B7E" w:rsidRPr="00F22C7C">
        <w:rPr>
          <w:szCs w:val="28"/>
        </w:rPr>
        <w:t xml:space="preserve">аключение договора </w:t>
      </w:r>
      <w:r w:rsidR="00676B7E">
        <w:rPr>
          <w:szCs w:val="28"/>
        </w:rPr>
        <w:t>купли – продажи электроэнергии и предоставлению услуг, неразрывно связанных с процессом снабжения электрической энергией нежилого офисного здания (инв. № 007</w:t>
      </w:r>
      <w:r w:rsidR="00676B7E" w:rsidRPr="00202EE4">
        <w:rPr>
          <w:szCs w:val="28"/>
        </w:rPr>
        <w:t>/00/00000012</w:t>
      </w:r>
      <w:r w:rsidR="00676B7E">
        <w:rPr>
          <w:szCs w:val="28"/>
        </w:rPr>
        <w:t>) аппарата управления филиала ПАО «</w:t>
      </w:r>
      <w:proofErr w:type="spellStart"/>
      <w:r w:rsidR="00676B7E">
        <w:rPr>
          <w:szCs w:val="28"/>
        </w:rPr>
        <w:t>ТрансКонтейнер</w:t>
      </w:r>
      <w:proofErr w:type="spellEnd"/>
      <w:r w:rsidR="00676B7E">
        <w:rPr>
          <w:szCs w:val="28"/>
        </w:rPr>
        <w:t xml:space="preserve">» на Куйбышевской железной дороге, расположенного по адресу: 443041, Российская Федерация, </w:t>
      </w:r>
      <w:proofErr w:type="gramStart"/>
      <w:r w:rsidR="00676B7E">
        <w:rPr>
          <w:szCs w:val="28"/>
        </w:rPr>
        <w:t>г</w:t>
      </w:r>
      <w:proofErr w:type="gramEnd"/>
      <w:r w:rsidR="00676B7E">
        <w:rPr>
          <w:szCs w:val="28"/>
        </w:rPr>
        <w:t>. Самара, ул. Льва Толстого, д. 131</w:t>
      </w:r>
      <w:r w:rsidR="00676B7E" w:rsidRPr="003927D3">
        <w:rPr>
          <w:szCs w:val="28"/>
        </w:rPr>
        <w:t xml:space="preserve"> </w:t>
      </w:r>
    </w:p>
    <w:p w:rsidR="0024584A" w:rsidRPr="00AC0842" w:rsidRDefault="0024584A" w:rsidP="0024584A">
      <w:pPr>
        <w:jc w:val="both"/>
        <w:rPr>
          <w:szCs w:val="28"/>
        </w:rPr>
      </w:pPr>
      <w:r w:rsidRPr="00AC0842">
        <w:rPr>
          <w:szCs w:val="28"/>
        </w:rPr>
        <w:t>Информация о товаре, работе, услуге</w:t>
      </w:r>
      <w:r>
        <w:rPr>
          <w:rStyle w:val="a5"/>
          <w:szCs w:val="28"/>
        </w:rPr>
        <w:footnoteReference w:id="1"/>
      </w:r>
      <w:r w:rsidRPr="00AC0842">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053488" w:rsidRPr="00053488" w:rsidTr="00704A29">
        <w:tc>
          <w:tcPr>
            <w:tcW w:w="675" w:type="dxa"/>
          </w:tcPr>
          <w:p w:rsidR="00053488" w:rsidRPr="00F922CD" w:rsidRDefault="00053488" w:rsidP="00704A29">
            <w:pPr>
              <w:ind w:firstLine="0"/>
              <w:rPr>
                <w:sz w:val="24"/>
                <w:szCs w:val="24"/>
              </w:rPr>
            </w:pPr>
            <w:r w:rsidRPr="00F922CD">
              <w:rPr>
                <w:sz w:val="24"/>
                <w:szCs w:val="24"/>
              </w:rPr>
              <w:t>№</w:t>
            </w:r>
          </w:p>
        </w:tc>
        <w:tc>
          <w:tcPr>
            <w:tcW w:w="1819" w:type="dxa"/>
          </w:tcPr>
          <w:p w:rsidR="00053488" w:rsidRPr="00F922CD" w:rsidRDefault="00053488" w:rsidP="00053488">
            <w:pPr>
              <w:ind w:firstLine="0"/>
              <w:rPr>
                <w:sz w:val="24"/>
                <w:szCs w:val="24"/>
              </w:rPr>
            </w:pPr>
            <w:r w:rsidRPr="00F922CD">
              <w:rPr>
                <w:sz w:val="24"/>
                <w:szCs w:val="24"/>
              </w:rPr>
              <w:t>Классификация по ОКПД 2</w:t>
            </w:r>
          </w:p>
        </w:tc>
        <w:tc>
          <w:tcPr>
            <w:tcW w:w="1819" w:type="dxa"/>
          </w:tcPr>
          <w:p w:rsidR="00053488" w:rsidRPr="00F922CD" w:rsidRDefault="00053488" w:rsidP="00053488">
            <w:pPr>
              <w:ind w:firstLine="0"/>
              <w:rPr>
                <w:sz w:val="24"/>
                <w:szCs w:val="24"/>
              </w:rPr>
            </w:pPr>
            <w:r w:rsidRPr="00F922CD">
              <w:rPr>
                <w:sz w:val="24"/>
                <w:szCs w:val="24"/>
              </w:rPr>
              <w:t>Классификация по ОКВЭД 2</w:t>
            </w:r>
          </w:p>
        </w:tc>
        <w:tc>
          <w:tcPr>
            <w:tcW w:w="1417" w:type="dxa"/>
          </w:tcPr>
          <w:p w:rsidR="00053488" w:rsidRPr="00F922CD" w:rsidRDefault="00053488" w:rsidP="00053488">
            <w:pPr>
              <w:ind w:firstLine="0"/>
              <w:rPr>
                <w:sz w:val="24"/>
                <w:szCs w:val="24"/>
              </w:rPr>
            </w:pPr>
            <w:r w:rsidRPr="00F922CD">
              <w:rPr>
                <w:sz w:val="24"/>
                <w:szCs w:val="24"/>
              </w:rPr>
              <w:t>Количество (Объем)</w:t>
            </w:r>
          </w:p>
        </w:tc>
        <w:tc>
          <w:tcPr>
            <w:tcW w:w="1557" w:type="dxa"/>
          </w:tcPr>
          <w:p w:rsidR="00053488" w:rsidRPr="00F922CD" w:rsidRDefault="00053488" w:rsidP="00053488">
            <w:pPr>
              <w:ind w:firstLine="0"/>
              <w:rPr>
                <w:sz w:val="24"/>
                <w:szCs w:val="24"/>
              </w:rPr>
            </w:pPr>
            <w:r w:rsidRPr="00F922CD">
              <w:rPr>
                <w:sz w:val="24"/>
                <w:szCs w:val="24"/>
              </w:rPr>
              <w:t>Ед. измерения</w:t>
            </w:r>
          </w:p>
        </w:tc>
        <w:tc>
          <w:tcPr>
            <w:tcW w:w="2412" w:type="dxa"/>
          </w:tcPr>
          <w:p w:rsidR="00053488" w:rsidRPr="00F922CD" w:rsidRDefault="00053488" w:rsidP="00053488">
            <w:pPr>
              <w:ind w:firstLine="0"/>
              <w:rPr>
                <w:sz w:val="24"/>
                <w:szCs w:val="24"/>
              </w:rPr>
            </w:pPr>
            <w:r w:rsidRPr="00F922CD">
              <w:rPr>
                <w:sz w:val="24"/>
                <w:szCs w:val="24"/>
              </w:rPr>
              <w:t>Дополнительные сведения</w:t>
            </w:r>
          </w:p>
        </w:tc>
      </w:tr>
      <w:tr w:rsidR="00053488" w:rsidRPr="00053488" w:rsidTr="00704A29">
        <w:tc>
          <w:tcPr>
            <w:tcW w:w="675" w:type="dxa"/>
          </w:tcPr>
          <w:p w:rsidR="00053488" w:rsidRPr="00053488" w:rsidRDefault="00053488" w:rsidP="00053488">
            <w:pPr>
              <w:ind w:firstLine="0"/>
              <w:rPr>
                <w:sz w:val="24"/>
                <w:szCs w:val="24"/>
              </w:rPr>
            </w:pPr>
            <w:r w:rsidRPr="00053488">
              <w:rPr>
                <w:sz w:val="24"/>
                <w:szCs w:val="24"/>
              </w:rPr>
              <w:t>1.</w:t>
            </w:r>
          </w:p>
        </w:tc>
        <w:tc>
          <w:tcPr>
            <w:tcW w:w="1819" w:type="dxa"/>
          </w:tcPr>
          <w:p w:rsidR="00053488" w:rsidRPr="00053488" w:rsidRDefault="00984617" w:rsidP="00053488">
            <w:pPr>
              <w:ind w:firstLine="0"/>
              <w:rPr>
                <w:sz w:val="24"/>
                <w:szCs w:val="24"/>
              </w:rPr>
            </w:pPr>
            <w:r>
              <w:rPr>
                <w:sz w:val="24"/>
                <w:szCs w:val="24"/>
              </w:rPr>
              <w:t>35.14.10.000</w:t>
            </w:r>
          </w:p>
        </w:tc>
        <w:tc>
          <w:tcPr>
            <w:tcW w:w="1819" w:type="dxa"/>
          </w:tcPr>
          <w:p w:rsidR="00053488" w:rsidRPr="00053488" w:rsidRDefault="00984617" w:rsidP="00053488">
            <w:pPr>
              <w:ind w:firstLine="0"/>
              <w:rPr>
                <w:sz w:val="24"/>
                <w:szCs w:val="24"/>
              </w:rPr>
            </w:pPr>
            <w:r>
              <w:rPr>
                <w:sz w:val="24"/>
                <w:szCs w:val="24"/>
              </w:rPr>
              <w:t>35.14</w:t>
            </w:r>
          </w:p>
        </w:tc>
        <w:tc>
          <w:tcPr>
            <w:tcW w:w="1417" w:type="dxa"/>
          </w:tcPr>
          <w:p w:rsidR="00053488" w:rsidRPr="00053488" w:rsidRDefault="00984617" w:rsidP="00053488">
            <w:pPr>
              <w:ind w:firstLine="0"/>
              <w:rPr>
                <w:sz w:val="24"/>
                <w:szCs w:val="24"/>
              </w:rPr>
            </w:pPr>
            <w:r>
              <w:rPr>
                <w:sz w:val="24"/>
                <w:szCs w:val="24"/>
              </w:rPr>
              <w:t>1</w:t>
            </w:r>
          </w:p>
        </w:tc>
        <w:tc>
          <w:tcPr>
            <w:tcW w:w="1557" w:type="dxa"/>
          </w:tcPr>
          <w:p w:rsidR="00053488" w:rsidRPr="00053488" w:rsidRDefault="00984617" w:rsidP="00053488">
            <w:pPr>
              <w:ind w:firstLine="0"/>
              <w:rPr>
                <w:sz w:val="24"/>
                <w:szCs w:val="24"/>
              </w:rPr>
            </w:pPr>
            <w:r>
              <w:rPr>
                <w:sz w:val="24"/>
                <w:szCs w:val="24"/>
              </w:rPr>
              <w:t>Условная единица</w:t>
            </w:r>
          </w:p>
        </w:tc>
        <w:tc>
          <w:tcPr>
            <w:tcW w:w="2412" w:type="dxa"/>
          </w:tcPr>
          <w:p w:rsidR="00053488" w:rsidRPr="00053488" w:rsidRDefault="00053488" w:rsidP="00053488">
            <w:pPr>
              <w:ind w:firstLine="0"/>
              <w:rPr>
                <w:sz w:val="24"/>
                <w:szCs w:val="24"/>
              </w:rPr>
            </w:pPr>
            <w:r w:rsidRPr="00053488">
              <w:rPr>
                <w:sz w:val="24"/>
                <w:szCs w:val="24"/>
              </w:rPr>
              <w:t>Строка годового плана закупок №</w:t>
            </w:r>
            <w:r w:rsidR="00984617">
              <w:rPr>
                <w:sz w:val="24"/>
                <w:szCs w:val="24"/>
              </w:rPr>
              <w:t>11</w:t>
            </w:r>
            <w:r w:rsidR="00F838CF">
              <w:rPr>
                <w:sz w:val="24"/>
                <w:szCs w:val="24"/>
              </w:rPr>
              <w:t xml:space="preserve">1 </w:t>
            </w:r>
          </w:p>
        </w:tc>
      </w:tr>
    </w:tbl>
    <w:p w:rsidR="00FE4606" w:rsidRPr="00FE4606" w:rsidRDefault="0024584A" w:rsidP="00FE4606">
      <w:pPr>
        <w:ind w:firstLine="851"/>
        <w:jc w:val="both"/>
      </w:pPr>
      <w:r w:rsidRPr="003927D3">
        <w:rPr>
          <w:b/>
        </w:rPr>
        <w:t>2. Количество (Объем)</w:t>
      </w:r>
      <w:r w:rsidR="00984617">
        <w:rPr>
          <w:b/>
        </w:rPr>
        <w:t xml:space="preserve">: </w:t>
      </w:r>
      <w:r w:rsidR="00984617" w:rsidRPr="00FE4606">
        <w:t xml:space="preserve">объем потребления электроэнергии </w:t>
      </w:r>
      <w:r w:rsidR="00FE4606" w:rsidRPr="00FE4606">
        <w:t xml:space="preserve">определяется на основании данных об объеме потребления электрической энергии (мощности) определенном на основании показаний приборов учета </w:t>
      </w:r>
    </w:p>
    <w:p w:rsidR="0024584A" w:rsidRPr="003927D3" w:rsidRDefault="00FE4606" w:rsidP="0024584A">
      <w:pPr>
        <w:jc w:val="both"/>
        <w:rPr>
          <w:b/>
        </w:rPr>
      </w:pPr>
      <w:r>
        <w:rPr>
          <w:b/>
        </w:rPr>
        <w:t xml:space="preserve">  </w:t>
      </w:r>
      <w:r w:rsidR="0024584A" w:rsidRPr="003927D3">
        <w:rPr>
          <w:b/>
        </w:rPr>
        <w:t xml:space="preserve">3. Максимальная цена договора: </w:t>
      </w:r>
      <w:r>
        <w:t>1</w:t>
      </w:r>
      <w:r w:rsidR="003D0795">
        <w:t> 113 600</w:t>
      </w:r>
      <w:r>
        <w:t>рубль</w:t>
      </w:r>
      <w:r w:rsidR="0048686D" w:rsidRPr="0048686D">
        <w:t xml:space="preserve"> </w:t>
      </w:r>
      <w:r w:rsidR="003D0795">
        <w:t>без учета НДС 20</w:t>
      </w:r>
      <w:r w:rsidR="0048686D">
        <w:t>%</w:t>
      </w:r>
      <w:r w:rsidR="0024584A" w:rsidRPr="003927D3">
        <w:t>.</w:t>
      </w:r>
    </w:p>
    <w:p w:rsidR="003D0795" w:rsidRDefault="0024584A" w:rsidP="002145B9">
      <w:pPr>
        <w:jc w:val="both"/>
        <w:rPr>
          <w:iCs/>
          <w:szCs w:val="28"/>
        </w:rPr>
      </w:pPr>
      <w:r w:rsidRPr="003927D3">
        <w:rPr>
          <w:b/>
          <w:iCs/>
          <w:szCs w:val="28"/>
        </w:rPr>
        <w:lastRenderedPageBreak/>
        <w:t>4. Порядок определения цены</w:t>
      </w:r>
      <w:proofErr w:type="gramStart"/>
      <w:r w:rsidR="00625041" w:rsidRPr="00EF4127">
        <w:rPr>
          <w:b/>
          <w:iCs/>
          <w:szCs w:val="28"/>
        </w:rPr>
        <w:t xml:space="preserve"> </w:t>
      </w:r>
      <w:r w:rsidRPr="003927D3">
        <w:rPr>
          <w:i/>
          <w:iCs/>
          <w:szCs w:val="28"/>
        </w:rPr>
        <w:t>:</w:t>
      </w:r>
      <w:proofErr w:type="gramEnd"/>
      <w:r w:rsidR="002145B9" w:rsidRPr="002145B9">
        <w:rPr>
          <w:iCs/>
          <w:szCs w:val="28"/>
        </w:rPr>
        <w:t xml:space="preserve"> </w:t>
      </w:r>
    </w:p>
    <w:p w:rsidR="003D0795" w:rsidRDefault="003D0795" w:rsidP="003D0795">
      <w:pPr>
        <w:jc w:val="both"/>
      </w:pPr>
      <w:r>
        <w:rPr>
          <w:iCs/>
          <w:szCs w:val="28"/>
        </w:rPr>
        <w:t xml:space="preserve">за </w:t>
      </w:r>
      <w:r w:rsidRPr="00F922CD">
        <w:rPr>
          <w:iCs/>
          <w:szCs w:val="28"/>
        </w:rPr>
        <w:t>потребленную электрическую энергию устанавливается в соответствии</w:t>
      </w:r>
      <w:r w:rsidRPr="003927D3">
        <w:rPr>
          <w:i/>
          <w:iCs/>
          <w:szCs w:val="28"/>
        </w:rPr>
        <w:t xml:space="preserve"> </w:t>
      </w:r>
      <w:r w:rsidRPr="00F922CD">
        <w:rPr>
          <w:iCs/>
          <w:szCs w:val="28"/>
        </w:rPr>
        <w:t>со</w:t>
      </w:r>
      <w:r w:rsidRPr="003927D3">
        <w:rPr>
          <w:i/>
          <w:iCs/>
          <w:szCs w:val="28"/>
        </w:rPr>
        <w:t xml:space="preserve"> </w:t>
      </w:r>
      <w:r>
        <w:t xml:space="preserve">сбытовой надбавкой на основании Приказов Министерства энергетики </w:t>
      </w:r>
      <w:proofErr w:type="spellStart"/>
      <w:r>
        <w:t>жилищн</w:t>
      </w:r>
      <w:proofErr w:type="gramStart"/>
      <w:r>
        <w:t>о</w:t>
      </w:r>
      <w:proofErr w:type="spellEnd"/>
      <w:r>
        <w:t>-</w:t>
      </w:r>
      <w:proofErr w:type="gramEnd"/>
      <w:r>
        <w:t xml:space="preserve"> коммунального хозяйства Самарской области от 14.12. 2018 г. № 776 «Об установлении  цен (тарифов) на электрическую энергию, поставляемую населению и приравненным к нему категориям потребителей по Самарской области, на 2019 год. </w:t>
      </w:r>
    </w:p>
    <w:p w:rsidR="003D0795" w:rsidRDefault="003D0795" w:rsidP="003D0795">
      <w:pPr>
        <w:jc w:val="both"/>
      </w:pPr>
      <w:r>
        <w:t xml:space="preserve">      Электрическая энергия оплачивается Потребителем в соответствии со значениями предельных уровней нерегулируемых цен для соответствующей ценовой категории, рассчитываемых гарантирующим поставщиком на основании данных ежемесячно публикуемых ОАО "АТС" (на сайте:</w:t>
      </w:r>
      <w:r>
        <w:rPr>
          <w:lang w:val="en-US"/>
        </w:rPr>
        <w:t>www</w:t>
      </w:r>
      <w:r w:rsidRPr="00EF6599">
        <w:t>.</w:t>
      </w:r>
      <w:proofErr w:type="spellStart"/>
      <w:r>
        <w:rPr>
          <w:lang w:val="en-US"/>
        </w:rPr>
        <w:t>atsenergo</w:t>
      </w:r>
      <w:proofErr w:type="spellEnd"/>
      <w:r w:rsidRPr="00EF6599">
        <w:t>.</w:t>
      </w:r>
      <w:proofErr w:type="spellStart"/>
      <w:r>
        <w:rPr>
          <w:lang w:val="en-US"/>
        </w:rPr>
        <w:t>ru</w:t>
      </w:r>
      <w:proofErr w:type="spellEnd"/>
      <w:r w:rsidRPr="00EF6599">
        <w:t>)</w:t>
      </w:r>
      <w:r>
        <w:t>, стоимости услуг по передаче и иных данных, предусмотренном действующим законодательством РФ.</w:t>
      </w:r>
    </w:p>
    <w:p w:rsidR="003D0795" w:rsidRPr="00784769" w:rsidRDefault="003D0795" w:rsidP="003D0795">
      <w:pPr>
        <w:jc w:val="both"/>
      </w:pPr>
      <w:r>
        <w:t xml:space="preserve">        Значения предельных уровней нерегулируемых цен на электроэнергию ежемесячно публикуются на официальном сайте гарантирующего поставщика в сети «Интернет» по адресу: </w:t>
      </w:r>
      <w:hyperlink r:id="rId12" w:history="1">
        <w:r w:rsidRPr="007B4C37">
          <w:rPr>
            <w:rStyle w:val="a6"/>
            <w:lang w:val="en-US"/>
          </w:rPr>
          <w:t>www</w:t>
        </w:r>
        <w:r w:rsidRPr="007B4C37">
          <w:rPr>
            <w:rStyle w:val="a6"/>
          </w:rPr>
          <w:t>.</w:t>
        </w:r>
        <w:proofErr w:type="spellStart"/>
        <w:r w:rsidRPr="007B4C37">
          <w:rPr>
            <w:rStyle w:val="a6"/>
            <w:lang w:val="en-US"/>
          </w:rPr>
          <w:t>samges</w:t>
        </w:r>
        <w:proofErr w:type="spellEnd"/>
        <w:r w:rsidRPr="00AD64D2">
          <w:rPr>
            <w:rStyle w:val="a6"/>
          </w:rPr>
          <w:t>.</w:t>
        </w:r>
        <w:proofErr w:type="spellStart"/>
        <w:r w:rsidRPr="007B4C37">
          <w:rPr>
            <w:rStyle w:val="a6"/>
            <w:lang w:val="en-US"/>
          </w:rPr>
          <w:t>ru</w:t>
        </w:r>
        <w:proofErr w:type="spellEnd"/>
      </w:hyperlink>
      <w:r w:rsidRPr="00AD64D2">
        <w:t xml:space="preserve"> </w:t>
      </w:r>
      <w:r>
        <w:t xml:space="preserve">до 15–го числа, следующего </w:t>
      </w:r>
      <w:proofErr w:type="gramStart"/>
      <w:r>
        <w:t>за</w:t>
      </w:r>
      <w:proofErr w:type="gramEnd"/>
      <w:r>
        <w:t xml:space="preserve"> расчетным. </w:t>
      </w:r>
    </w:p>
    <w:p w:rsidR="00FE4606" w:rsidRDefault="0024584A" w:rsidP="0024584A">
      <w:pPr>
        <w:pStyle w:val="Default"/>
        <w:ind w:firstLine="708"/>
        <w:jc w:val="both"/>
        <w:rPr>
          <w:iCs/>
          <w:color w:val="auto"/>
          <w:sz w:val="28"/>
          <w:szCs w:val="28"/>
        </w:rPr>
      </w:pPr>
      <w:r w:rsidRPr="003927D3">
        <w:rPr>
          <w:b/>
          <w:iCs/>
          <w:color w:val="auto"/>
          <w:sz w:val="28"/>
          <w:szCs w:val="28"/>
        </w:rPr>
        <w:t>5. Форма, сроки и порядок оплаты</w:t>
      </w:r>
      <w:r w:rsidR="00FE4606">
        <w:rPr>
          <w:b/>
          <w:iCs/>
          <w:color w:val="auto"/>
          <w:sz w:val="28"/>
          <w:szCs w:val="28"/>
        </w:rPr>
        <w:t xml:space="preserve">: </w:t>
      </w:r>
      <w:r w:rsidR="00212289" w:rsidRPr="00212289">
        <w:rPr>
          <w:iCs/>
          <w:color w:val="auto"/>
          <w:sz w:val="28"/>
          <w:szCs w:val="28"/>
        </w:rPr>
        <w:t>Исполнение обязательств по оплате осуществляется с соблюдением требований п.28 «Основных положений функционирования розничных рынков электрической энергии» утвержденных Постановлением Правительства РФ от 04.05.2012 № 442.</w:t>
      </w:r>
      <w:r w:rsidR="00212289">
        <w:rPr>
          <w:b/>
          <w:iCs/>
          <w:color w:val="auto"/>
          <w:sz w:val="28"/>
          <w:szCs w:val="28"/>
        </w:rPr>
        <w:t xml:space="preserve">  </w:t>
      </w:r>
      <w:r w:rsidR="00FE4606" w:rsidRPr="00FE4606">
        <w:rPr>
          <w:iCs/>
          <w:color w:val="auto"/>
          <w:sz w:val="28"/>
          <w:szCs w:val="28"/>
        </w:rPr>
        <w:t xml:space="preserve">Расчеты за поставку </w:t>
      </w:r>
      <w:r w:rsidR="00FE4606">
        <w:rPr>
          <w:iCs/>
          <w:color w:val="auto"/>
          <w:sz w:val="28"/>
          <w:szCs w:val="28"/>
        </w:rPr>
        <w:t xml:space="preserve">электрической энергии в текущем расчетном периоде производятся путем совершения авансового платежа в текущем расчетном периоде </w:t>
      </w:r>
      <w:r w:rsidR="00F61046">
        <w:rPr>
          <w:iCs/>
          <w:color w:val="auto"/>
          <w:sz w:val="28"/>
          <w:szCs w:val="28"/>
        </w:rPr>
        <w:t xml:space="preserve">и окончательного расчета в следующем расчетном периоде. Расчетный период </w:t>
      </w:r>
      <w:r w:rsidR="0000016B">
        <w:rPr>
          <w:iCs/>
          <w:color w:val="auto"/>
          <w:sz w:val="28"/>
          <w:szCs w:val="28"/>
        </w:rPr>
        <w:t>–</w:t>
      </w:r>
      <w:r w:rsidR="00F61046">
        <w:rPr>
          <w:iCs/>
          <w:color w:val="auto"/>
          <w:sz w:val="28"/>
          <w:szCs w:val="28"/>
        </w:rPr>
        <w:t xml:space="preserve"> </w:t>
      </w:r>
      <w:r w:rsidR="0000016B">
        <w:rPr>
          <w:iCs/>
          <w:color w:val="auto"/>
          <w:sz w:val="28"/>
          <w:szCs w:val="28"/>
        </w:rPr>
        <w:t xml:space="preserve">календарный месяц. </w:t>
      </w:r>
    </w:p>
    <w:p w:rsidR="0000016B" w:rsidRPr="00FE4606" w:rsidRDefault="0000016B" w:rsidP="0024584A">
      <w:pPr>
        <w:pStyle w:val="Default"/>
        <w:ind w:firstLine="708"/>
        <w:jc w:val="both"/>
        <w:rPr>
          <w:iCs/>
          <w:color w:val="auto"/>
          <w:sz w:val="28"/>
          <w:szCs w:val="28"/>
        </w:rPr>
      </w:pPr>
      <w:r>
        <w:rPr>
          <w:iCs/>
          <w:color w:val="auto"/>
          <w:sz w:val="28"/>
          <w:szCs w:val="28"/>
        </w:rPr>
        <w:t xml:space="preserve">Авансовые платежи за поставку электрической энергии </w:t>
      </w:r>
      <w:r w:rsidR="006B4E64">
        <w:rPr>
          <w:iCs/>
          <w:color w:val="auto"/>
          <w:sz w:val="28"/>
          <w:szCs w:val="28"/>
        </w:rPr>
        <w:t xml:space="preserve">в текущем расчетном периоде осуществляются в соответствии со значениями предельного уровня нерегулируемой цены для соответствующей ценовой категории, путем оплаты пятидесяти процентов стоимости от объема потребления электрической энергии (мощности) за предшествующий расчетный период в срок до 15-го числа текущего расчетного периода.  </w:t>
      </w:r>
    </w:p>
    <w:p w:rsidR="006B4E64" w:rsidRDefault="0024584A" w:rsidP="0024584A">
      <w:pPr>
        <w:pStyle w:val="Default"/>
        <w:ind w:firstLine="708"/>
        <w:jc w:val="both"/>
        <w:rPr>
          <w:iCs/>
          <w:color w:val="auto"/>
          <w:sz w:val="28"/>
          <w:szCs w:val="28"/>
        </w:rPr>
      </w:pPr>
      <w:r w:rsidRPr="006B4E64">
        <w:rPr>
          <w:iCs/>
          <w:color w:val="auto"/>
          <w:sz w:val="28"/>
          <w:szCs w:val="28"/>
        </w:rPr>
        <w:t xml:space="preserve"> </w:t>
      </w:r>
      <w:r w:rsidR="006B4E64" w:rsidRPr="006B4E64">
        <w:rPr>
          <w:iCs/>
          <w:color w:val="auto"/>
          <w:sz w:val="28"/>
          <w:szCs w:val="28"/>
        </w:rPr>
        <w:t xml:space="preserve"> Окончательный расчет </w:t>
      </w:r>
      <w:r w:rsidR="006B4E64">
        <w:rPr>
          <w:iCs/>
          <w:color w:val="auto"/>
          <w:sz w:val="28"/>
          <w:szCs w:val="28"/>
        </w:rPr>
        <w:t>производится в соответствии со значениями предельных уровней нерегулируемых цен рассчитываемых гарантирующим поставщиком за вычетом средств внесенных в качестве оплаты в течени</w:t>
      </w:r>
      <w:proofErr w:type="gramStart"/>
      <w:r w:rsidR="006B4E64">
        <w:rPr>
          <w:iCs/>
          <w:color w:val="auto"/>
          <w:sz w:val="28"/>
          <w:szCs w:val="28"/>
        </w:rPr>
        <w:t>и</w:t>
      </w:r>
      <w:proofErr w:type="gramEnd"/>
      <w:r w:rsidR="006B4E64">
        <w:rPr>
          <w:iCs/>
          <w:color w:val="auto"/>
          <w:sz w:val="28"/>
          <w:szCs w:val="28"/>
        </w:rPr>
        <w:t xml:space="preserve"> этого месяца, до 18 го числа месяца, следующего за месяцем, за который осуществляется оплата. </w:t>
      </w:r>
    </w:p>
    <w:p w:rsidR="0035514A" w:rsidRDefault="006B4E64" w:rsidP="0024584A">
      <w:pPr>
        <w:pStyle w:val="Default"/>
        <w:ind w:firstLine="708"/>
        <w:jc w:val="both"/>
        <w:rPr>
          <w:iCs/>
          <w:color w:val="auto"/>
          <w:sz w:val="28"/>
          <w:szCs w:val="28"/>
        </w:rPr>
      </w:pPr>
      <w:r>
        <w:rPr>
          <w:iCs/>
          <w:color w:val="auto"/>
          <w:sz w:val="28"/>
          <w:szCs w:val="28"/>
        </w:rPr>
        <w:t xml:space="preserve">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w:t>
      </w:r>
      <w:r w:rsidR="0035514A">
        <w:rPr>
          <w:iCs/>
          <w:color w:val="auto"/>
          <w:sz w:val="28"/>
          <w:szCs w:val="28"/>
        </w:rPr>
        <w:t xml:space="preserve">уплаченная сумма зачисляется в счет платежа за месяц, следующий за месяцем, в котором была осуществлена оплата. </w:t>
      </w:r>
    </w:p>
    <w:p w:rsidR="00FE4606" w:rsidRPr="006B4E64" w:rsidRDefault="0035514A" w:rsidP="0024584A">
      <w:pPr>
        <w:pStyle w:val="Default"/>
        <w:ind w:firstLine="708"/>
        <w:jc w:val="both"/>
        <w:rPr>
          <w:iCs/>
          <w:color w:val="auto"/>
          <w:sz w:val="28"/>
          <w:szCs w:val="28"/>
        </w:rPr>
      </w:pPr>
      <w:r>
        <w:rPr>
          <w:iCs/>
          <w:color w:val="auto"/>
          <w:sz w:val="28"/>
          <w:szCs w:val="28"/>
        </w:rPr>
        <w:t>Все платежи производятся путем перечисления денежных сре</w:t>
      </w:r>
      <w:proofErr w:type="gramStart"/>
      <w:r>
        <w:rPr>
          <w:iCs/>
          <w:color w:val="auto"/>
          <w:sz w:val="28"/>
          <w:szCs w:val="28"/>
        </w:rPr>
        <w:t>дств с б</w:t>
      </w:r>
      <w:proofErr w:type="gramEnd"/>
      <w:r>
        <w:rPr>
          <w:iCs/>
          <w:color w:val="auto"/>
          <w:sz w:val="28"/>
          <w:szCs w:val="28"/>
        </w:rPr>
        <w:t>анковских счетов потребителя на расчетный счет гарантирующего поставщика.</w:t>
      </w:r>
      <w:r w:rsidR="006B4E64">
        <w:rPr>
          <w:iCs/>
          <w:color w:val="auto"/>
          <w:sz w:val="28"/>
          <w:szCs w:val="28"/>
        </w:rPr>
        <w:t xml:space="preserve"> </w:t>
      </w:r>
    </w:p>
    <w:p w:rsidR="00784769" w:rsidRPr="00980503" w:rsidRDefault="0024584A" w:rsidP="00784769">
      <w:pPr>
        <w:pStyle w:val="Default"/>
        <w:ind w:firstLine="708"/>
        <w:jc w:val="both"/>
        <w:rPr>
          <w:color w:val="auto"/>
          <w:sz w:val="28"/>
          <w:szCs w:val="28"/>
        </w:rPr>
      </w:pPr>
      <w:r w:rsidRPr="003927D3">
        <w:rPr>
          <w:b/>
          <w:iCs/>
          <w:color w:val="auto"/>
          <w:sz w:val="28"/>
          <w:szCs w:val="28"/>
        </w:rPr>
        <w:t xml:space="preserve">6. Срок </w:t>
      </w:r>
      <w:r w:rsidR="00212289">
        <w:rPr>
          <w:b/>
          <w:iCs/>
          <w:color w:val="auto"/>
          <w:sz w:val="28"/>
          <w:szCs w:val="28"/>
        </w:rPr>
        <w:t xml:space="preserve">поставки </w:t>
      </w:r>
      <w:r w:rsidR="00625041" w:rsidRPr="00980503">
        <w:rPr>
          <w:iCs/>
          <w:color w:val="auto"/>
          <w:sz w:val="28"/>
          <w:szCs w:val="28"/>
        </w:rPr>
        <w:t>с 01.03.2019</w:t>
      </w:r>
      <w:r w:rsidR="00784769" w:rsidRPr="00980503">
        <w:rPr>
          <w:iCs/>
          <w:color w:val="auto"/>
          <w:sz w:val="28"/>
          <w:szCs w:val="28"/>
        </w:rPr>
        <w:t xml:space="preserve"> г. </w:t>
      </w:r>
      <w:r w:rsidR="00625041" w:rsidRPr="00980503">
        <w:rPr>
          <w:color w:val="auto"/>
          <w:sz w:val="28"/>
          <w:szCs w:val="28"/>
        </w:rPr>
        <w:t>по 31.01.2021</w:t>
      </w:r>
      <w:r w:rsidR="00784769" w:rsidRPr="00980503">
        <w:rPr>
          <w:color w:val="auto"/>
          <w:sz w:val="28"/>
          <w:szCs w:val="28"/>
        </w:rPr>
        <w:t>г.</w:t>
      </w:r>
    </w:p>
    <w:p w:rsidR="0024584A" w:rsidRPr="00980503" w:rsidRDefault="0024584A" w:rsidP="0024584A">
      <w:pPr>
        <w:pStyle w:val="Default"/>
        <w:ind w:firstLine="708"/>
        <w:jc w:val="both"/>
        <w:rPr>
          <w:color w:val="auto"/>
          <w:sz w:val="28"/>
          <w:szCs w:val="28"/>
        </w:rPr>
      </w:pPr>
    </w:p>
    <w:p w:rsidR="0024584A" w:rsidRPr="003927D3" w:rsidRDefault="0024584A" w:rsidP="0024584A">
      <w:pPr>
        <w:pStyle w:val="Default"/>
        <w:ind w:firstLine="708"/>
        <w:jc w:val="both"/>
        <w:rPr>
          <w:i/>
          <w:color w:val="auto"/>
          <w:sz w:val="28"/>
          <w:szCs w:val="28"/>
        </w:rPr>
      </w:pPr>
      <w:r w:rsidRPr="003927D3">
        <w:rPr>
          <w:b/>
          <w:iCs/>
          <w:color w:val="auto"/>
          <w:sz w:val="28"/>
          <w:szCs w:val="28"/>
        </w:rPr>
        <w:lastRenderedPageBreak/>
        <w:t xml:space="preserve">7. </w:t>
      </w:r>
      <w:proofErr w:type="gramStart"/>
      <w:r w:rsidRPr="003927D3">
        <w:rPr>
          <w:b/>
          <w:iCs/>
          <w:color w:val="auto"/>
          <w:sz w:val="28"/>
          <w:szCs w:val="28"/>
        </w:rPr>
        <w:t>Место</w:t>
      </w:r>
      <w:r w:rsidR="0035514A">
        <w:rPr>
          <w:b/>
          <w:iCs/>
          <w:color w:val="auto"/>
          <w:sz w:val="28"/>
          <w:szCs w:val="28"/>
        </w:rPr>
        <w:t xml:space="preserve">: </w:t>
      </w:r>
      <w:r w:rsidR="0035514A" w:rsidRPr="00980503">
        <w:rPr>
          <w:iCs/>
          <w:color w:val="auto"/>
          <w:sz w:val="28"/>
          <w:szCs w:val="28"/>
        </w:rPr>
        <w:t>443041, Самарская область, г. Самара, Железнодорожный район, ул. Льва Толстого, д. 131</w:t>
      </w:r>
      <w:r w:rsidRPr="00980503">
        <w:rPr>
          <w:color w:val="auto"/>
          <w:sz w:val="28"/>
          <w:szCs w:val="28"/>
        </w:rPr>
        <w:t>.</w:t>
      </w:r>
      <w:proofErr w:type="gramEnd"/>
    </w:p>
    <w:p w:rsidR="0024584A" w:rsidRPr="003927D3" w:rsidRDefault="0024584A" w:rsidP="0024584A">
      <w:pPr>
        <w:pStyle w:val="Default"/>
        <w:ind w:firstLine="708"/>
        <w:jc w:val="both"/>
        <w:rPr>
          <w:b/>
          <w:iCs/>
          <w:color w:val="auto"/>
          <w:sz w:val="28"/>
          <w:szCs w:val="28"/>
        </w:rPr>
      </w:pPr>
      <w:r w:rsidRPr="003927D3">
        <w:rPr>
          <w:b/>
          <w:color w:val="auto"/>
          <w:sz w:val="28"/>
          <w:szCs w:val="28"/>
        </w:rPr>
        <w:t xml:space="preserve">8. Информация о поставщике: </w:t>
      </w:r>
      <w:r w:rsidR="0035514A">
        <w:rPr>
          <w:color w:val="auto"/>
          <w:sz w:val="28"/>
          <w:szCs w:val="28"/>
        </w:rPr>
        <w:t>АО «</w:t>
      </w:r>
      <w:proofErr w:type="spellStart"/>
      <w:r w:rsidR="0035514A">
        <w:rPr>
          <w:color w:val="auto"/>
          <w:sz w:val="28"/>
          <w:szCs w:val="28"/>
        </w:rPr>
        <w:t>Самарагорэнергосбыт</w:t>
      </w:r>
      <w:proofErr w:type="spellEnd"/>
      <w:r w:rsidR="0035514A">
        <w:rPr>
          <w:color w:val="auto"/>
          <w:sz w:val="28"/>
          <w:szCs w:val="28"/>
        </w:rPr>
        <w:t xml:space="preserve">» </w:t>
      </w:r>
    </w:p>
    <w:p w:rsidR="00C3313D" w:rsidRDefault="00C3313D" w:rsidP="00497234">
      <w:pPr>
        <w:jc w:val="both"/>
      </w:pPr>
      <w:r w:rsidRPr="00C3313D">
        <w:rPr>
          <w:b/>
        </w:rPr>
        <w:t>Поставщик является субъектом МСП</w:t>
      </w:r>
      <w:r w:rsidRPr="00F922CD">
        <w:rPr>
          <w:b/>
        </w:rPr>
        <w:t>:</w:t>
      </w:r>
      <w:r w:rsidRPr="00F922CD">
        <w:t xml:space="preserve">   нет</w:t>
      </w:r>
      <w:r>
        <w:t xml:space="preserve"> </w:t>
      </w:r>
    </w:p>
    <w:p w:rsidR="00497234" w:rsidRPr="003927D3" w:rsidRDefault="00497234" w:rsidP="00497234">
      <w:pPr>
        <w:jc w:val="both"/>
      </w:pPr>
      <w:r w:rsidRPr="009D4BA6">
        <w:t>ОГРН</w:t>
      </w:r>
      <w:r w:rsidR="009D4BA6" w:rsidRPr="009D4BA6">
        <w:t>: 1086316010373</w:t>
      </w:r>
      <w:r w:rsidRPr="009D4BA6">
        <w:t>;</w:t>
      </w:r>
    </w:p>
    <w:p w:rsidR="00497234" w:rsidRPr="003927D3" w:rsidRDefault="00497234" w:rsidP="00497234">
      <w:pPr>
        <w:jc w:val="both"/>
      </w:pPr>
      <w:r w:rsidRPr="009D4BA6">
        <w:t>ИНН</w:t>
      </w:r>
      <w:r w:rsidR="009D4BA6" w:rsidRPr="009D4BA6">
        <w:t>: 6316138990</w:t>
      </w:r>
      <w:r w:rsidRPr="009D4BA6">
        <w:t>;</w:t>
      </w:r>
    </w:p>
    <w:p w:rsidR="00497234" w:rsidRPr="003927D3" w:rsidRDefault="00497234" w:rsidP="00497234">
      <w:pPr>
        <w:jc w:val="both"/>
      </w:pPr>
      <w:r w:rsidRPr="009D4BA6">
        <w:t>КПП</w:t>
      </w:r>
      <w:r w:rsidR="009D4BA6" w:rsidRPr="009D4BA6">
        <w:t>: 631050001</w:t>
      </w:r>
      <w:r w:rsidRPr="009D4BA6">
        <w:t>;</w:t>
      </w:r>
    </w:p>
    <w:p w:rsidR="0024584A" w:rsidRPr="003927D3" w:rsidRDefault="0024584A" w:rsidP="0024584A">
      <w:pPr>
        <w:jc w:val="both"/>
      </w:pPr>
      <w:r w:rsidRPr="009D4BA6">
        <w:t>Место нахождения</w:t>
      </w:r>
      <w:r w:rsidR="009D4BA6" w:rsidRPr="009D4BA6">
        <w:t>: 443079, г. Самара, ул. Гагарина, д.22</w:t>
      </w:r>
      <w:r w:rsidRPr="009D4BA6">
        <w:t>;</w:t>
      </w:r>
    </w:p>
    <w:p w:rsidR="0024584A" w:rsidRPr="003927D3" w:rsidRDefault="0024584A" w:rsidP="0024584A">
      <w:pPr>
        <w:ind w:firstLine="0"/>
        <w:jc w:val="both"/>
      </w:pPr>
      <w:r>
        <w:tab/>
      </w:r>
      <w:r w:rsidRPr="003927D3">
        <w:t>Почтовый адрес</w:t>
      </w:r>
      <w:r w:rsidR="009D4BA6">
        <w:t xml:space="preserve">: тот же. </w:t>
      </w:r>
    </w:p>
    <w:p w:rsidR="0024584A" w:rsidRPr="003927D3" w:rsidRDefault="0024584A" w:rsidP="0024584A">
      <w:pPr>
        <w:pStyle w:val="11"/>
        <w:ind w:firstLine="708"/>
      </w:pPr>
      <w:r w:rsidRPr="003927D3">
        <w:t>Представитель</w:t>
      </w:r>
      <w:r w:rsidR="009D4BA6">
        <w:t xml:space="preserve"> Поставщика, ответственный </w:t>
      </w:r>
      <w:r w:rsidRPr="003927D3">
        <w:t xml:space="preserve"> со стороны поставщика – </w:t>
      </w:r>
      <w:r w:rsidR="009D4BA6">
        <w:t>Ознобихина Т.В.</w:t>
      </w:r>
      <w:r w:rsidRPr="003927D3">
        <w:t>, тел</w:t>
      </w:r>
      <w:proofErr w:type="gramStart"/>
      <w:r w:rsidRPr="003927D3">
        <w:t>.(</w:t>
      </w:r>
      <w:proofErr w:type="gramEnd"/>
      <w:r w:rsidRPr="003927D3">
        <w:t>факс)</w:t>
      </w:r>
      <w:r w:rsidR="009D4BA6">
        <w:t xml:space="preserve">8 846 260-05-35. </w:t>
      </w:r>
    </w:p>
    <w:p w:rsidR="0024584A" w:rsidRPr="003927D3" w:rsidRDefault="0024584A" w:rsidP="0024584A">
      <w:pPr>
        <w:jc w:val="both"/>
        <w:rPr>
          <w:i/>
        </w:rPr>
      </w:pPr>
      <w:r w:rsidRPr="003927D3">
        <w:rPr>
          <w:b/>
        </w:rPr>
        <w:t xml:space="preserve">9. </w:t>
      </w:r>
      <w:r w:rsidRPr="0073728B">
        <w:rPr>
          <w:b/>
        </w:rPr>
        <w:t xml:space="preserve">Требования к </w:t>
      </w:r>
      <w:r w:rsidRPr="0073728B">
        <w:rPr>
          <w:b/>
          <w:iCs/>
          <w:szCs w:val="28"/>
        </w:rPr>
        <w:t>поставке электрической энергии (мощности):</w:t>
      </w:r>
      <w:r w:rsidRPr="003927D3">
        <w:rPr>
          <w:i/>
          <w:iCs/>
          <w:szCs w:val="28"/>
        </w:rPr>
        <w:t xml:space="preserve"> </w:t>
      </w:r>
    </w:p>
    <w:p w:rsidR="0024584A" w:rsidRDefault="0073728B" w:rsidP="0024584A">
      <w:pPr>
        <w:jc w:val="both"/>
      </w:pPr>
      <w:r>
        <w:t>- Объем поставки электроэнергии должен составлять не менее – 100 тыс. кВт*</w:t>
      </w:r>
      <w:proofErr w:type="gramStart"/>
      <w:r>
        <w:t>ч</w:t>
      </w:r>
      <w:proofErr w:type="gramEnd"/>
      <w:r w:rsidR="00625041" w:rsidRPr="00892E79">
        <w:t xml:space="preserve"> </w:t>
      </w:r>
      <w:r w:rsidR="00625041">
        <w:t>в год в соответствии с «плановыми объемами потребления»</w:t>
      </w:r>
      <w:r>
        <w:t>.</w:t>
      </w:r>
    </w:p>
    <w:p w:rsidR="00F922CD" w:rsidRPr="007F56F3" w:rsidRDefault="00F922CD" w:rsidP="00F922CD">
      <w:pPr>
        <w:jc w:val="both"/>
        <w:rPr>
          <w:iCs/>
          <w:sz w:val="26"/>
          <w:szCs w:val="26"/>
        </w:rPr>
      </w:pPr>
      <w:r w:rsidRPr="007F56F3">
        <w:rPr>
          <w:iCs/>
          <w:sz w:val="26"/>
          <w:szCs w:val="26"/>
        </w:rPr>
        <w:t xml:space="preserve">- Подключение осуществляется по  схеме внешнего  электроснабжения, </w:t>
      </w:r>
      <w:proofErr w:type="spellStart"/>
      <w:r w:rsidRPr="007F56F3">
        <w:rPr>
          <w:iCs/>
          <w:sz w:val="26"/>
          <w:szCs w:val="26"/>
        </w:rPr>
        <w:t>энергоприемники</w:t>
      </w:r>
      <w:proofErr w:type="spellEnd"/>
      <w:r w:rsidRPr="007F56F3">
        <w:rPr>
          <w:iCs/>
          <w:sz w:val="26"/>
          <w:szCs w:val="26"/>
        </w:rPr>
        <w:t xml:space="preserve"> относятся к третьей категории; </w:t>
      </w:r>
    </w:p>
    <w:p w:rsidR="00F922CD" w:rsidRPr="007F56F3" w:rsidRDefault="00F922CD" w:rsidP="00F922CD">
      <w:pPr>
        <w:jc w:val="both"/>
        <w:rPr>
          <w:iCs/>
          <w:sz w:val="26"/>
          <w:szCs w:val="26"/>
        </w:rPr>
      </w:pPr>
      <w:r w:rsidRPr="007F56F3">
        <w:rPr>
          <w:iCs/>
          <w:sz w:val="26"/>
          <w:szCs w:val="26"/>
        </w:rPr>
        <w:t xml:space="preserve">-Допустимое число часов отключения в год не должно превышать – 72 часа (семьдесят  два); </w:t>
      </w:r>
    </w:p>
    <w:p w:rsidR="00F922CD" w:rsidRDefault="00F922CD" w:rsidP="00F922CD">
      <w:pPr>
        <w:jc w:val="both"/>
        <w:rPr>
          <w:iCs/>
          <w:sz w:val="26"/>
          <w:szCs w:val="26"/>
        </w:rPr>
      </w:pPr>
      <w:r w:rsidRPr="007F56F3">
        <w:rPr>
          <w:iCs/>
          <w:sz w:val="26"/>
          <w:szCs w:val="26"/>
        </w:rPr>
        <w:t xml:space="preserve">- Срок восстановления энергоснабжения составляет – 24 часа (двадцать четыре). </w:t>
      </w:r>
    </w:p>
    <w:p w:rsidR="0024584A" w:rsidRDefault="0024584A" w:rsidP="0024584A">
      <w:pPr>
        <w:jc w:val="both"/>
      </w:pPr>
    </w:p>
    <w:p w:rsidR="0024584A" w:rsidRDefault="0024584A" w:rsidP="0024584A">
      <w:pPr>
        <w:jc w:val="both"/>
      </w:pPr>
    </w:p>
    <w:p w:rsidR="0024584A" w:rsidRPr="003927D3" w:rsidRDefault="0024584A" w:rsidP="007A053B">
      <w:pPr>
        <w:jc w:val="both"/>
      </w:pPr>
    </w:p>
    <w:sectPr w:rsidR="0024584A" w:rsidRPr="003927D3"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2F9" w:rsidRDefault="001F02F9" w:rsidP="00CB1C18">
      <w:r>
        <w:separator/>
      </w:r>
    </w:p>
  </w:endnote>
  <w:endnote w:type="continuationSeparator" w:id="0">
    <w:p w:rsidR="001F02F9" w:rsidRDefault="001F02F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2F9" w:rsidRDefault="001F02F9" w:rsidP="00CB1C18">
      <w:r>
        <w:separator/>
      </w:r>
    </w:p>
  </w:footnote>
  <w:footnote w:type="continuationSeparator" w:id="0">
    <w:p w:rsidR="001F02F9" w:rsidRDefault="001F02F9" w:rsidP="00CB1C18">
      <w:r>
        <w:continuationSeparator/>
      </w:r>
    </w:p>
  </w:footnote>
  <w:footnote w:id="1">
    <w:p w:rsidR="005D2E07" w:rsidRPr="00212289" w:rsidRDefault="005D2E07" w:rsidP="00212289">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4D1F90"/>
    <w:multiLevelType w:val="hybridMultilevel"/>
    <w:tmpl w:val="39AAB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2870F7"/>
    <w:multiLevelType w:val="hybridMultilevel"/>
    <w:tmpl w:val="0B16B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21857"/>
    <w:rsid w:val="0000016B"/>
    <w:rsid w:val="00003459"/>
    <w:rsid w:val="00026B5E"/>
    <w:rsid w:val="00053488"/>
    <w:rsid w:val="0005629F"/>
    <w:rsid w:val="00063509"/>
    <w:rsid w:val="00071914"/>
    <w:rsid w:val="00071C18"/>
    <w:rsid w:val="00072C73"/>
    <w:rsid w:val="00072CDC"/>
    <w:rsid w:val="000777AB"/>
    <w:rsid w:val="00082F94"/>
    <w:rsid w:val="00084180"/>
    <w:rsid w:val="00085F72"/>
    <w:rsid w:val="000939DC"/>
    <w:rsid w:val="000A60A3"/>
    <w:rsid w:val="000A799D"/>
    <w:rsid w:val="000C5FD9"/>
    <w:rsid w:val="000D3430"/>
    <w:rsid w:val="000E1060"/>
    <w:rsid w:val="000E10CA"/>
    <w:rsid w:val="000E77C3"/>
    <w:rsid w:val="00107B80"/>
    <w:rsid w:val="00117473"/>
    <w:rsid w:val="001212C5"/>
    <w:rsid w:val="0012133A"/>
    <w:rsid w:val="00121857"/>
    <w:rsid w:val="00126BBB"/>
    <w:rsid w:val="00132AFA"/>
    <w:rsid w:val="00133CFF"/>
    <w:rsid w:val="0014455A"/>
    <w:rsid w:val="001475DB"/>
    <w:rsid w:val="00152424"/>
    <w:rsid w:val="00177D91"/>
    <w:rsid w:val="001A343E"/>
    <w:rsid w:val="001B0FDE"/>
    <w:rsid w:val="001C01D6"/>
    <w:rsid w:val="001C05F5"/>
    <w:rsid w:val="001D3EAA"/>
    <w:rsid w:val="001F02F9"/>
    <w:rsid w:val="001F0B3B"/>
    <w:rsid w:val="001F4F2E"/>
    <w:rsid w:val="001F52B9"/>
    <w:rsid w:val="00204B07"/>
    <w:rsid w:val="0020709B"/>
    <w:rsid w:val="00212289"/>
    <w:rsid w:val="002145B9"/>
    <w:rsid w:val="00223EC3"/>
    <w:rsid w:val="00232255"/>
    <w:rsid w:val="002350DE"/>
    <w:rsid w:val="00243BB2"/>
    <w:rsid w:val="00245141"/>
    <w:rsid w:val="002451A7"/>
    <w:rsid w:val="0024584A"/>
    <w:rsid w:val="0026332C"/>
    <w:rsid w:val="002636BF"/>
    <w:rsid w:val="0028492E"/>
    <w:rsid w:val="00296517"/>
    <w:rsid w:val="002A7D8B"/>
    <w:rsid w:val="002C536B"/>
    <w:rsid w:val="002C6D00"/>
    <w:rsid w:val="002E11EB"/>
    <w:rsid w:val="002E21F4"/>
    <w:rsid w:val="002E2B59"/>
    <w:rsid w:val="002E5A39"/>
    <w:rsid w:val="002F00CA"/>
    <w:rsid w:val="002F2591"/>
    <w:rsid w:val="00302FAA"/>
    <w:rsid w:val="003038BF"/>
    <w:rsid w:val="0032153B"/>
    <w:rsid w:val="003248F4"/>
    <w:rsid w:val="00326348"/>
    <w:rsid w:val="003516CC"/>
    <w:rsid w:val="0035514A"/>
    <w:rsid w:val="003927D3"/>
    <w:rsid w:val="0039709B"/>
    <w:rsid w:val="00397D4F"/>
    <w:rsid w:val="003C7469"/>
    <w:rsid w:val="003D0795"/>
    <w:rsid w:val="003D0AA6"/>
    <w:rsid w:val="003D1E43"/>
    <w:rsid w:val="003D239A"/>
    <w:rsid w:val="003D65AC"/>
    <w:rsid w:val="003E13B8"/>
    <w:rsid w:val="003E1D49"/>
    <w:rsid w:val="003E4C85"/>
    <w:rsid w:val="003E56FD"/>
    <w:rsid w:val="003F4415"/>
    <w:rsid w:val="0041301F"/>
    <w:rsid w:val="00427B60"/>
    <w:rsid w:val="004305EC"/>
    <w:rsid w:val="0044002D"/>
    <w:rsid w:val="00482157"/>
    <w:rsid w:val="00483D8D"/>
    <w:rsid w:val="0048686D"/>
    <w:rsid w:val="0049189D"/>
    <w:rsid w:val="00497234"/>
    <w:rsid w:val="004A1CAD"/>
    <w:rsid w:val="004B3332"/>
    <w:rsid w:val="004B7489"/>
    <w:rsid w:val="004C3E28"/>
    <w:rsid w:val="004C63EA"/>
    <w:rsid w:val="004C768B"/>
    <w:rsid w:val="004D4FB7"/>
    <w:rsid w:val="004E09D6"/>
    <w:rsid w:val="004E7660"/>
    <w:rsid w:val="00500D9B"/>
    <w:rsid w:val="00510572"/>
    <w:rsid w:val="00513F6C"/>
    <w:rsid w:val="00526967"/>
    <w:rsid w:val="00531303"/>
    <w:rsid w:val="00542DB9"/>
    <w:rsid w:val="0056315B"/>
    <w:rsid w:val="00564686"/>
    <w:rsid w:val="00565E96"/>
    <w:rsid w:val="00566A94"/>
    <w:rsid w:val="00583AE4"/>
    <w:rsid w:val="005941EF"/>
    <w:rsid w:val="005A5BE6"/>
    <w:rsid w:val="005A69AB"/>
    <w:rsid w:val="005B0013"/>
    <w:rsid w:val="005B79B3"/>
    <w:rsid w:val="005C6574"/>
    <w:rsid w:val="005C680F"/>
    <w:rsid w:val="005D2E07"/>
    <w:rsid w:val="005E0384"/>
    <w:rsid w:val="005F46D0"/>
    <w:rsid w:val="006072F9"/>
    <w:rsid w:val="006117F1"/>
    <w:rsid w:val="00621590"/>
    <w:rsid w:val="00625041"/>
    <w:rsid w:val="006323ED"/>
    <w:rsid w:val="006527AA"/>
    <w:rsid w:val="0065729B"/>
    <w:rsid w:val="0065731F"/>
    <w:rsid w:val="0066021C"/>
    <w:rsid w:val="00661273"/>
    <w:rsid w:val="006713BF"/>
    <w:rsid w:val="00676B7E"/>
    <w:rsid w:val="00684FEC"/>
    <w:rsid w:val="006B32C7"/>
    <w:rsid w:val="006B4E64"/>
    <w:rsid w:val="006C610D"/>
    <w:rsid w:val="006D2D1A"/>
    <w:rsid w:val="006E0FA2"/>
    <w:rsid w:val="007022A0"/>
    <w:rsid w:val="00706492"/>
    <w:rsid w:val="00706B40"/>
    <w:rsid w:val="0071472A"/>
    <w:rsid w:val="007203E7"/>
    <w:rsid w:val="00720B00"/>
    <w:rsid w:val="00724EED"/>
    <w:rsid w:val="007275D1"/>
    <w:rsid w:val="00730428"/>
    <w:rsid w:val="0073728B"/>
    <w:rsid w:val="007442D3"/>
    <w:rsid w:val="0075014E"/>
    <w:rsid w:val="00752FA3"/>
    <w:rsid w:val="00770963"/>
    <w:rsid w:val="00772AC8"/>
    <w:rsid w:val="007745A4"/>
    <w:rsid w:val="00784769"/>
    <w:rsid w:val="00786563"/>
    <w:rsid w:val="00795795"/>
    <w:rsid w:val="007A053B"/>
    <w:rsid w:val="007B4A2D"/>
    <w:rsid w:val="007D1E9F"/>
    <w:rsid w:val="007D6F31"/>
    <w:rsid w:val="007F5506"/>
    <w:rsid w:val="008128DB"/>
    <w:rsid w:val="00821AC8"/>
    <w:rsid w:val="00824610"/>
    <w:rsid w:val="00831584"/>
    <w:rsid w:val="00833256"/>
    <w:rsid w:val="00852B23"/>
    <w:rsid w:val="008547B8"/>
    <w:rsid w:val="00854F94"/>
    <w:rsid w:val="0086483E"/>
    <w:rsid w:val="00875BE6"/>
    <w:rsid w:val="0088075E"/>
    <w:rsid w:val="00884629"/>
    <w:rsid w:val="00891EC0"/>
    <w:rsid w:val="00892E79"/>
    <w:rsid w:val="008A767E"/>
    <w:rsid w:val="008B29D7"/>
    <w:rsid w:val="008D074D"/>
    <w:rsid w:val="008E0CEC"/>
    <w:rsid w:val="008E1656"/>
    <w:rsid w:val="008F0A98"/>
    <w:rsid w:val="00910BE4"/>
    <w:rsid w:val="00915DBD"/>
    <w:rsid w:val="0092627C"/>
    <w:rsid w:val="0093062F"/>
    <w:rsid w:val="0093440D"/>
    <w:rsid w:val="009662B7"/>
    <w:rsid w:val="00966BF5"/>
    <w:rsid w:val="0096722D"/>
    <w:rsid w:val="00972305"/>
    <w:rsid w:val="00980503"/>
    <w:rsid w:val="00984617"/>
    <w:rsid w:val="009876F8"/>
    <w:rsid w:val="009913BA"/>
    <w:rsid w:val="00991FC3"/>
    <w:rsid w:val="00994F52"/>
    <w:rsid w:val="009B6FDE"/>
    <w:rsid w:val="009C16C0"/>
    <w:rsid w:val="009C4A5D"/>
    <w:rsid w:val="009C6740"/>
    <w:rsid w:val="009D183B"/>
    <w:rsid w:val="009D460E"/>
    <w:rsid w:val="009D4BA6"/>
    <w:rsid w:val="009D7D4D"/>
    <w:rsid w:val="009F2FCC"/>
    <w:rsid w:val="009F36EA"/>
    <w:rsid w:val="009F3AE5"/>
    <w:rsid w:val="00A017DE"/>
    <w:rsid w:val="00A038AE"/>
    <w:rsid w:val="00A042DE"/>
    <w:rsid w:val="00A1512F"/>
    <w:rsid w:val="00A20EC2"/>
    <w:rsid w:val="00A232F1"/>
    <w:rsid w:val="00A31BA8"/>
    <w:rsid w:val="00A335BC"/>
    <w:rsid w:val="00A35895"/>
    <w:rsid w:val="00A67341"/>
    <w:rsid w:val="00A716A3"/>
    <w:rsid w:val="00A7517C"/>
    <w:rsid w:val="00A767DE"/>
    <w:rsid w:val="00A91ABA"/>
    <w:rsid w:val="00AA34B6"/>
    <w:rsid w:val="00AA36AF"/>
    <w:rsid w:val="00AA79FA"/>
    <w:rsid w:val="00AA7EFD"/>
    <w:rsid w:val="00AC57C2"/>
    <w:rsid w:val="00AC799F"/>
    <w:rsid w:val="00AD64D2"/>
    <w:rsid w:val="00AD69FC"/>
    <w:rsid w:val="00AE5D96"/>
    <w:rsid w:val="00AF3E8A"/>
    <w:rsid w:val="00AF4708"/>
    <w:rsid w:val="00B20DF0"/>
    <w:rsid w:val="00B21959"/>
    <w:rsid w:val="00B3207D"/>
    <w:rsid w:val="00B45D6B"/>
    <w:rsid w:val="00B81AC6"/>
    <w:rsid w:val="00B8653B"/>
    <w:rsid w:val="00BB7300"/>
    <w:rsid w:val="00BD06F5"/>
    <w:rsid w:val="00BD0B53"/>
    <w:rsid w:val="00BD3223"/>
    <w:rsid w:val="00BD6739"/>
    <w:rsid w:val="00BE4FBE"/>
    <w:rsid w:val="00BE7F31"/>
    <w:rsid w:val="00BF11C7"/>
    <w:rsid w:val="00BF2940"/>
    <w:rsid w:val="00BF3180"/>
    <w:rsid w:val="00C0686E"/>
    <w:rsid w:val="00C21190"/>
    <w:rsid w:val="00C22188"/>
    <w:rsid w:val="00C2562C"/>
    <w:rsid w:val="00C3313D"/>
    <w:rsid w:val="00C40A83"/>
    <w:rsid w:val="00C623E6"/>
    <w:rsid w:val="00C710BB"/>
    <w:rsid w:val="00C73DDA"/>
    <w:rsid w:val="00C86D10"/>
    <w:rsid w:val="00CB1C18"/>
    <w:rsid w:val="00CC5E94"/>
    <w:rsid w:val="00CD5577"/>
    <w:rsid w:val="00CD7A9A"/>
    <w:rsid w:val="00CE09CD"/>
    <w:rsid w:val="00CE61B4"/>
    <w:rsid w:val="00CF0A13"/>
    <w:rsid w:val="00D00ECC"/>
    <w:rsid w:val="00D0636A"/>
    <w:rsid w:val="00D21C01"/>
    <w:rsid w:val="00D32B13"/>
    <w:rsid w:val="00D32F01"/>
    <w:rsid w:val="00D35556"/>
    <w:rsid w:val="00D40099"/>
    <w:rsid w:val="00D51AF4"/>
    <w:rsid w:val="00D70D67"/>
    <w:rsid w:val="00D84F35"/>
    <w:rsid w:val="00D90797"/>
    <w:rsid w:val="00D90A10"/>
    <w:rsid w:val="00D9562C"/>
    <w:rsid w:val="00D979C6"/>
    <w:rsid w:val="00DB11D3"/>
    <w:rsid w:val="00DE5F8C"/>
    <w:rsid w:val="00DF7851"/>
    <w:rsid w:val="00E05E0C"/>
    <w:rsid w:val="00E16968"/>
    <w:rsid w:val="00E22CF6"/>
    <w:rsid w:val="00E26F81"/>
    <w:rsid w:val="00E35CDC"/>
    <w:rsid w:val="00E5065E"/>
    <w:rsid w:val="00E50CBA"/>
    <w:rsid w:val="00E53C38"/>
    <w:rsid w:val="00E7093B"/>
    <w:rsid w:val="00E73E7A"/>
    <w:rsid w:val="00E810F0"/>
    <w:rsid w:val="00E87D4E"/>
    <w:rsid w:val="00E905FB"/>
    <w:rsid w:val="00E957DE"/>
    <w:rsid w:val="00EB5105"/>
    <w:rsid w:val="00ED1117"/>
    <w:rsid w:val="00ED1B2D"/>
    <w:rsid w:val="00ED60FD"/>
    <w:rsid w:val="00EE5678"/>
    <w:rsid w:val="00EF4127"/>
    <w:rsid w:val="00F02C27"/>
    <w:rsid w:val="00F04EF5"/>
    <w:rsid w:val="00F12F5B"/>
    <w:rsid w:val="00F25640"/>
    <w:rsid w:val="00F33116"/>
    <w:rsid w:val="00F3417A"/>
    <w:rsid w:val="00F43018"/>
    <w:rsid w:val="00F532A7"/>
    <w:rsid w:val="00F61046"/>
    <w:rsid w:val="00F61164"/>
    <w:rsid w:val="00F6476F"/>
    <w:rsid w:val="00F72DD1"/>
    <w:rsid w:val="00F749D9"/>
    <w:rsid w:val="00F752D3"/>
    <w:rsid w:val="00F776E4"/>
    <w:rsid w:val="00F838CF"/>
    <w:rsid w:val="00F91597"/>
    <w:rsid w:val="00F922CD"/>
    <w:rsid w:val="00F94074"/>
    <w:rsid w:val="00F9545A"/>
    <w:rsid w:val="00FA2D3E"/>
    <w:rsid w:val="00FD7121"/>
    <w:rsid w:val="00FE3EB4"/>
    <w:rsid w:val="00FE423B"/>
    <w:rsid w:val="00FE4606"/>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mges.ru"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aiushkinAA@trcont.com" TargetMode="External"/><Relationship Id="rId5" Type="http://schemas.openxmlformats.org/officeDocument/2006/relationships/styles" Target="styles.xml"/><Relationship Id="rId10" Type="http://schemas.openxmlformats.org/officeDocument/2006/relationships/hyperlink" Target="mailto:zakupki@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2015-02-18T21:00:00+00:00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FDC80B8-DA3F-4911-BA51-FEDBF13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4961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ЕП Обоснование закупк + Извещение</vt:lpstr>
    </vt:vector>
  </TitlesOfParts>
  <Company>Hewlett-Packard Company</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 + Извещение</dc:title>
  <dc:creator>Курицын А.Е.</dc:creator>
  <cp:lastModifiedBy>Панарина Юлия Валерьевна</cp:lastModifiedBy>
  <cp:revision>4</cp:revision>
  <cp:lastPrinted>2017-02-28T05:11:00Z</cp:lastPrinted>
  <dcterms:created xsi:type="dcterms:W3CDTF">2019-02-18T10:43:00Z</dcterms:created>
  <dcterms:modified xsi:type="dcterms:W3CDTF">2019-02-27T11:31:00Z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