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D2290F">
        <w:rPr>
          <w:b/>
          <w:sz w:val="32"/>
          <w:szCs w:val="32"/>
        </w:rPr>
        <w:t>-ЦКПЭАС</w:t>
      </w:r>
      <w:r w:rsidR="005235AD" w:rsidRPr="005235AD">
        <w:rPr>
          <w:b/>
          <w:sz w:val="32"/>
          <w:szCs w:val="32"/>
        </w:rPr>
        <w:t>-19</w:t>
      </w:r>
      <w:r w:rsidR="005235AD" w:rsidRPr="0039058A">
        <w:rPr>
          <w:b/>
          <w:sz w:val="32"/>
          <w:szCs w:val="32"/>
        </w:rPr>
        <w:t>-</w:t>
      </w:r>
      <w:r w:rsidR="0039058A" w:rsidRPr="0039058A">
        <w:rPr>
          <w:b/>
          <w:sz w:val="32"/>
          <w:szCs w:val="32"/>
        </w:rPr>
        <w:t>0059</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 общество «Центр по перевозке грузов в контейнерах «ТрансКонтейнер» (ПАО</w:t>
      </w:r>
      <w:r w:rsidR="00C94554">
        <w:rPr>
          <w:b/>
        </w:rPr>
        <w:t> </w:t>
      </w:r>
      <w:r w:rsidR="00E41A01">
        <w:rPr>
          <w:b/>
        </w:rPr>
        <w:t>«ТрансКонтейнер»)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w:t>
      </w:r>
      <w:r w:rsidR="00C94554">
        <w:rPr>
          <w:bCs/>
          <w:szCs w:val="28"/>
        </w:rPr>
        <w:t>ой Федерации от 11 декабря </w:t>
      </w:r>
      <w:r w:rsidR="00C94554" w:rsidRPr="00C94554">
        <w:t>2014</w:t>
      </w:r>
      <w:r w:rsidR="00C94554">
        <w:t> </w:t>
      </w:r>
      <w:r w:rsidRPr="00C94554">
        <w:t>г</w:t>
      </w:r>
      <w:r>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39058A">
        <w:t>ЦКПЭАС</w:t>
      </w:r>
      <w:r w:rsidR="005235AD" w:rsidRPr="005235AD">
        <w:t>-19-</w:t>
      </w:r>
      <w:r w:rsidR="0039058A">
        <w:t>0059</w:t>
      </w:r>
      <w:r w:rsidR="005235AD" w:rsidRPr="005235AD">
        <w:t xml:space="preserve"> </w:t>
      </w:r>
      <w:r>
        <w:t xml:space="preserve">по предмету </w:t>
      </w:r>
      <w:r w:rsidR="00C94554">
        <w:t xml:space="preserve">«Сервисное обслуживание нового </w:t>
      </w:r>
      <w:r w:rsidR="00C94554">
        <w:rPr>
          <w:lang w:val="en-US"/>
        </w:rPr>
        <w:t>iSales</w:t>
      </w:r>
      <w:r w:rsidR="00C94554">
        <w:t xml:space="preserve"> и нового сайта ТК»</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C94554" w:rsidRPr="00C64E36" w:rsidRDefault="00E41A01" w:rsidP="00C94554">
      <w:pPr>
        <w:pStyle w:val="11"/>
        <w:suppressAutoHyphens/>
      </w:pPr>
      <w:r>
        <w:t xml:space="preserve">Почтовый адрес Заказчика: </w:t>
      </w:r>
      <w:r w:rsidR="00C94554">
        <w:t>Российская Федерация, 125047, г. Москва, Оружейный переулок, дом 19.</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C94554">
        <w:t>Бровкин Иван Анатольевич</w:t>
      </w:r>
    </w:p>
    <w:p w:rsidR="00D87C77" w:rsidRPr="00C94554" w:rsidRDefault="00D87C77" w:rsidP="00D87C77">
      <w:pPr>
        <w:jc w:val="both"/>
      </w:pPr>
      <w:r w:rsidRPr="00C64E36">
        <w:t xml:space="preserve">Адрес электронной почты: </w:t>
      </w:r>
      <w:r w:rsidR="00C94554" w:rsidRPr="0039058A">
        <w:t>brovkinia</w:t>
      </w:r>
      <w:r w:rsidR="00C94554" w:rsidRPr="00C94554">
        <w:t>@</w:t>
      </w:r>
      <w:r w:rsidR="00C94554" w:rsidRPr="0039058A">
        <w:t>trcont</w:t>
      </w:r>
      <w:r w:rsidR="00C94554" w:rsidRPr="00C94554">
        <w:t>.</w:t>
      </w:r>
      <w:r w:rsidR="00C94554" w:rsidRPr="0039058A">
        <w:t>ru</w:t>
      </w:r>
    </w:p>
    <w:p w:rsidR="00D87C77" w:rsidRPr="00A47B94" w:rsidRDefault="00D87C77" w:rsidP="00D87C77">
      <w:pPr>
        <w:jc w:val="both"/>
      </w:pPr>
      <w:r>
        <w:t>Т</w:t>
      </w:r>
      <w:r w:rsidRPr="00C64E36">
        <w:t xml:space="preserve">елефон: </w:t>
      </w:r>
      <w:r w:rsidRPr="0039058A">
        <w:t>+7(495)788-17-17</w:t>
      </w:r>
      <w:r w:rsidRPr="00C64E36">
        <w:t xml:space="preserve">, </w:t>
      </w:r>
      <w:r w:rsidR="00C94554" w:rsidRPr="00A47B94">
        <w:t>17-14</w:t>
      </w:r>
    </w:p>
    <w:p w:rsidR="00D87C77" w:rsidRDefault="00D87C77" w:rsidP="00D87C77">
      <w:pPr>
        <w:jc w:val="both"/>
      </w:pPr>
    </w:p>
    <w:p w:rsidR="00D87C77" w:rsidRPr="00C94554" w:rsidRDefault="007B3654" w:rsidP="00C94554">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w:t>
      </w:r>
      <w:r w:rsidR="00C94554">
        <w:rPr>
          <w:szCs w:val="28"/>
          <w:lang w:val="en-US"/>
        </w:rPr>
        <w:t> </w:t>
      </w:r>
      <w:r w:rsidR="00E41A01">
        <w:rPr>
          <w:szCs w:val="28"/>
        </w:rPr>
        <w:t>«ТрансКонтейнер».</w:t>
      </w:r>
      <w:r w:rsidR="00C94554">
        <w:rPr>
          <w:szCs w:val="28"/>
        </w:rPr>
        <w:t xml:space="preserve"> Функции Организатора выполняет:</w:t>
      </w: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t>П</w:t>
      </w:r>
      <w:r w:rsidR="00C94554">
        <w:rPr>
          <w:szCs w:val="28"/>
        </w:rPr>
        <w:t>АО</w:t>
      </w:r>
      <w:r w:rsidR="00C94554">
        <w:rPr>
          <w:b/>
          <w:szCs w:val="28"/>
        </w:rPr>
        <w:t> </w:t>
      </w:r>
      <w:r w:rsidRPr="00083273">
        <w:rPr>
          <w:szCs w:val="28"/>
        </w:rPr>
        <w:t>«ТрансКонтейнер».</w:t>
      </w:r>
    </w:p>
    <w:p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125047, Мо</w:t>
      </w:r>
      <w:r w:rsidR="00C94554">
        <w:rPr>
          <w:szCs w:val="28"/>
        </w:rPr>
        <w:t>сква, Оружейный переулок, д.19.</w:t>
      </w:r>
    </w:p>
    <w:p w:rsidR="00D87C77" w:rsidRDefault="00D87C77" w:rsidP="00D87C77">
      <w:pPr>
        <w:pStyle w:val="11"/>
        <w:suppressAutoHyphens/>
        <w:ind w:firstLine="708"/>
        <w:rPr>
          <w:szCs w:val="28"/>
        </w:rPr>
      </w:pPr>
      <w:r w:rsidRPr="00083273">
        <w:rPr>
          <w:szCs w:val="28"/>
        </w:rPr>
        <w:t xml:space="preserve">Контактное(ые) лицо(а) </w:t>
      </w:r>
      <w:r>
        <w:rPr>
          <w:szCs w:val="28"/>
        </w:rPr>
        <w:t>Организатора</w:t>
      </w:r>
      <w:r w:rsidR="00C94554">
        <w:rPr>
          <w:szCs w:val="28"/>
        </w:rPr>
        <w:t>:</w:t>
      </w:r>
    </w:p>
    <w:p w:rsidR="00D87C77" w:rsidRDefault="00D87C77" w:rsidP="00D87C77">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rsidR="00D87C77" w:rsidRPr="00CA4696" w:rsidRDefault="00D87C77" w:rsidP="00D87C77">
      <w:pPr>
        <w:pStyle w:val="11"/>
        <w:ind w:firstLine="708"/>
        <w:rPr>
          <w:szCs w:val="28"/>
        </w:rPr>
      </w:pPr>
      <w:r w:rsidRPr="00CA4696">
        <w:rPr>
          <w:szCs w:val="28"/>
        </w:rPr>
        <w:t>Курицын Александр Евгеньевич, тел. +7 (495) 788-1717 доб. 16-41, электронный адрес KuritsynAE@trcont.ru</w:t>
      </w:r>
      <w:r>
        <w:rPr>
          <w:szCs w:val="28"/>
        </w:rPr>
        <w:t>.</w:t>
      </w:r>
    </w:p>
    <w:p w:rsidR="00C94554" w:rsidRPr="00A47B94" w:rsidRDefault="00C94554">
      <w:pPr>
        <w:pStyle w:val="11"/>
        <w:ind w:firstLine="0"/>
      </w:pPr>
    </w:p>
    <w:p w:rsidR="00015D16" w:rsidRDefault="00E41A01" w:rsidP="00C359B5">
      <w:pPr>
        <w:pStyle w:val="11"/>
        <w:ind w:firstLine="709"/>
        <w:rPr>
          <w:szCs w:val="28"/>
        </w:rPr>
      </w:pP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C94554">
        <w:t xml:space="preserve">Сервисное обслуживание нового </w:t>
      </w:r>
      <w:r w:rsidR="00C94554">
        <w:rPr>
          <w:lang w:val="en-US"/>
        </w:rPr>
        <w:t>iSales</w:t>
      </w:r>
      <w:r w:rsidR="00C94554">
        <w:t xml:space="preserve"> и нового сайта ТК.</w:t>
      </w:r>
    </w:p>
    <w:p w:rsidR="00015D16" w:rsidRDefault="00E41A01">
      <w:pPr>
        <w:jc w:val="both"/>
        <w:rPr>
          <w:szCs w:val="28"/>
        </w:rPr>
      </w:pPr>
      <w:r>
        <w:rPr>
          <w:szCs w:val="28"/>
        </w:rPr>
        <w:lastRenderedPageBreak/>
        <w:t xml:space="preserve">Начальная (максимальная) цена договора: </w:t>
      </w:r>
      <w:r w:rsidR="00C359B5">
        <w:rPr>
          <w:szCs w:val="28"/>
        </w:rPr>
        <w:t>41 </w:t>
      </w:r>
      <w:r w:rsidR="00C94554" w:rsidRPr="00C359B5">
        <w:rPr>
          <w:szCs w:val="28"/>
        </w:rPr>
        <w:t>357</w:t>
      </w:r>
      <w:r w:rsidR="00C359B5">
        <w:rPr>
          <w:szCs w:val="28"/>
        </w:rPr>
        <w:t> </w:t>
      </w:r>
      <w:r w:rsidR="00C94554" w:rsidRPr="00C359B5">
        <w:rPr>
          <w:szCs w:val="28"/>
        </w:rPr>
        <w:t xml:space="preserve">088,00 </w:t>
      </w:r>
      <w:r w:rsidR="00C359B5">
        <w:rPr>
          <w:szCs w:val="28"/>
        </w:rPr>
        <w:t>(сорок один миллион триста пятьдесят семь тысяч восемьдесят восемь) рублей</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43"/>
        <w:gridCol w:w="1843"/>
        <w:gridCol w:w="1417"/>
        <w:gridCol w:w="1417"/>
        <w:gridCol w:w="2943"/>
      </w:tblGrid>
      <w:tr w:rsidR="00DE4997" w:rsidRPr="00C359B5" w:rsidTr="00C359B5">
        <w:tc>
          <w:tcPr>
            <w:tcW w:w="460"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DE4997" w:rsidP="0089536B">
            <w:pPr>
              <w:snapToGrid w:val="0"/>
              <w:ind w:firstLine="0"/>
              <w:rPr>
                <w:snapToGrid/>
                <w:sz w:val="24"/>
                <w:szCs w:val="24"/>
              </w:rPr>
            </w:pPr>
            <w:r w:rsidRPr="00C359B5">
              <w:rPr>
                <w:snapToGrid/>
                <w:sz w:val="24"/>
                <w:szCs w:val="24"/>
              </w:rPr>
              <w:t>№ п/п</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DE4997" w:rsidP="0089536B">
            <w:pPr>
              <w:snapToGrid w:val="0"/>
              <w:ind w:firstLine="0"/>
              <w:rPr>
                <w:snapToGrid/>
                <w:sz w:val="24"/>
                <w:szCs w:val="24"/>
              </w:rPr>
            </w:pPr>
            <w:r w:rsidRPr="00C359B5">
              <w:rPr>
                <w:snapToGrid/>
                <w:sz w:val="24"/>
                <w:szCs w:val="24"/>
              </w:rPr>
              <w:t>Классификация по ОКПД 2</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DE4997" w:rsidP="0089536B">
            <w:pPr>
              <w:snapToGrid w:val="0"/>
              <w:ind w:firstLine="0"/>
              <w:rPr>
                <w:snapToGrid/>
                <w:sz w:val="24"/>
                <w:szCs w:val="24"/>
              </w:rPr>
            </w:pPr>
            <w:r w:rsidRPr="00C359B5">
              <w:rPr>
                <w:snapToGrid/>
                <w:sz w:val="24"/>
                <w:szCs w:val="24"/>
              </w:rPr>
              <w:t>Классификация по ОКВЭД 2</w:t>
            </w:r>
          </w:p>
        </w:tc>
        <w:tc>
          <w:tcPr>
            <w:tcW w:w="680"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0F73A5" w:rsidP="0089536B">
            <w:pPr>
              <w:snapToGrid w:val="0"/>
              <w:ind w:firstLine="0"/>
              <w:rPr>
                <w:snapToGrid/>
                <w:sz w:val="24"/>
                <w:szCs w:val="24"/>
              </w:rPr>
            </w:pPr>
            <w:r w:rsidRPr="00C359B5">
              <w:rPr>
                <w:snapToGrid/>
                <w:sz w:val="24"/>
                <w:szCs w:val="24"/>
              </w:rPr>
              <w:t>Количество (объем)</w:t>
            </w:r>
          </w:p>
        </w:tc>
        <w:tc>
          <w:tcPr>
            <w:tcW w:w="680"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DE4997" w:rsidP="000F73A5">
            <w:pPr>
              <w:snapToGrid w:val="0"/>
              <w:ind w:firstLine="0"/>
              <w:rPr>
                <w:snapToGrid/>
                <w:sz w:val="24"/>
                <w:szCs w:val="24"/>
              </w:rPr>
            </w:pPr>
            <w:r w:rsidRPr="00C359B5">
              <w:rPr>
                <w:snapToGrid/>
                <w:sz w:val="24"/>
                <w:szCs w:val="24"/>
              </w:rPr>
              <w:t>Единица измерения</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rsidR="00DE4997" w:rsidRPr="00C359B5" w:rsidRDefault="00DE4997" w:rsidP="0089536B">
            <w:pPr>
              <w:snapToGrid w:val="0"/>
              <w:ind w:firstLine="0"/>
              <w:rPr>
                <w:snapToGrid/>
                <w:sz w:val="24"/>
                <w:szCs w:val="24"/>
              </w:rPr>
            </w:pPr>
            <w:r w:rsidRPr="00C359B5">
              <w:rPr>
                <w:snapToGrid/>
                <w:sz w:val="24"/>
                <w:szCs w:val="24"/>
              </w:rPr>
              <w:t>Дополнительные сведения</w:t>
            </w:r>
          </w:p>
        </w:tc>
      </w:tr>
      <w:tr w:rsidR="00DE4997" w:rsidRPr="00C359B5" w:rsidTr="00C359B5">
        <w:tc>
          <w:tcPr>
            <w:tcW w:w="460" w:type="pct"/>
            <w:tcBorders>
              <w:top w:val="single" w:sz="4" w:space="0" w:color="auto"/>
              <w:left w:val="single" w:sz="4" w:space="0" w:color="auto"/>
              <w:bottom w:val="single" w:sz="4" w:space="0" w:color="auto"/>
              <w:right w:val="single" w:sz="4" w:space="0" w:color="auto"/>
            </w:tcBorders>
            <w:shd w:val="clear" w:color="auto" w:fill="auto"/>
          </w:tcPr>
          <w:p w:rsidR="00015D16" w:rsidRPr="00C359B5" w:rsidRDefault="00D11E05">
            <w:pPr>
              <w:tabs>
                <w:tab w:val="clear" w:pos="709"/>
                <w:tab w:val="left" w:pos="313"/>
              </w:tabs>
              <w:snapToGrid w:val="0"/>
              <w:ind w:firstLine="0"/>
              <w:rPr>
                <w:snapToGrid/>
                <w:sz w:val="24"/>
                <w:szCs w:val="24"/>
              </w:rPr>
            </w:pPr>
            <w:r w:rsidRPr="00C359B5">
              <w:rPr>
                <w:snapToGrid/>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015D16" w:rsidRPr="003575C2" w:rsidRDefault="00C94554">
            <w:pPr>
              <w:snapToGrid w:val="0"/>
              <w:ind w:firstLine="0"/>
              <w:rPr>
                <w:snapToGrid/>
                <w:sz w:val="24"/>
                <w:szCs w:val="24"/>
              </w:rPr>
            </w:pPr>
            <w:r w:rsidRPr="003575C2">
              <w:rPr>
                <w:snapToGrid/>
                <w:sz w:val="24"/>
                <w:szCs w:val="24"/>
              </w:rPr>
              <w:t>62.02.20</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015D16" w:rsidRPr="00C359B5" w:rsidRDefault="00C94554">
            <w:pPr>
              <w:snapToGrid w:val="0"/>
              <w:ind w:firstLine="0"/>
              <w:rPr>
                <w:snapToGrid/>
                <w:sz w:val="24"/>
                <w:szCs w:val="24"/>
              </w:rPr>
            </w:pPr>
            <w:r w:rsidRPr="003575C2">
              <w:rPr>
                <w:snapToGrid/>
                <w:sz w:val="24"/>
                <w:szCs w:val="24"/>
              </w:rPr>
              <w:t>62.03.13</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015D16" w:rsidRPr="00C359B5" w:rsidRDefault="00C94554">
            <w:pPr>
              <w:snapToGrid w:val="0"/>
              <w:ind w:firstLine="0"/>
              <w:rPr>
                <w:snapToGrid/>
                <w:sz w:val="24"/>
                <w:szCs w:val="24"/>
              </w:rPr>
            </w:pPr>
            <w:r w:rsidRPr="00C359B5">
              <w:rPr>
                <w:snapToGrid/>
                <w:sz w:val="24"/>
                <w:szCs w:val="24"/>
              </w:rPr>
              <w:t>1</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015D16" w:rsidRPr="00C359B5" w:rsidRDefault="00C94554">
            <w:pPr>
              <w:snapToGrid w:val="0"/>
              <w:ind w:firstLine="0"/>
              <w:rPr>
                <w:snapToGrid/>
                <w:sz w:val="24"/>
                <w:szCs w:val="24"/>
              </w:rPr>
            </w:pPr>
            <w:r w:rsidRPr="00C359B5">
              <w:rPr>
                <w:snapToGrid/>
                <w:sz w:val="24"/>
                <w:szCs w:val="24"/>
              </w:rPr>
              <w:t>876</w:t>
            </w:r>
          </w:p>
        </w:tc>
        <w:tc>
          <w:tcPr>
            <w:tcW w:w="1412" w:type="pct"/>
            <w:tcBorders>
              <w:top w:val="single" w:sz="4" w:space="0" w:color="auto"/>
              <w:left w:val="single" w:sz="4" w:space="0" w:color="auto"/>
              <w:bottom w:val="single" w:sz="4" w:space="0" w:color="auto"/>
              <w:right w:val="single" w:sz="4" w:space="0" w:color="auto"/>
            </w:tcBorders>
            <w:shd w:val="clear" w:color="auto" w:fill="auto"/>
            <w:hideMark/>
          </w:tcPr>
          <w:p w:rsidR="00015D16" w:rsidRPr="00C359B5" w:rsidRDefault="00E41A01" w:rsidP="00D87C77">
            <w:pPr>
              <w:snapToGrid w:val="0"/>
              <w:ind w:firstLine="0"/>
              <w:rPr>
                <w:snapToGrid/>
                <w:sz w:val="24"/>
                <w:szCs w:val="24"/>
              </w:rPr>
            </w:pPr>
            <w:r w:rsidRPr="00C359B5">
              <w:rPr>
                <w:snapToGrid/>
                <w:sz w:val="24"/>
                <w:szCs w:val="24"/>
              </w:rPr>
              <w:t xml:space="preserve">Номер строки годового плана закупок № </w:t>
            </w:r>
            <w:r w:rsidR="00D11E05" w:rsidRPr="00C359B5">
              <w:rPr>
                <w:snapToGrid/>
                <w:sz w:val="24"/>
                <w:szCs w:val="24"/>
              </w:rPr>
              <w:t>284</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D11E05">
        <w:rPr>
          <w:szCs w:val="28"/>
        </w:rPr>
        <w:t xml:space="preserve">Российская Федерация, </w:t>
      </w:r>
      <w:r w:rsidR="00D11E05" w:rsidRPr="00083273">
        <w:rPr>
          <w:szCs w:val="28"/>
        </w:rPr>
        <w:t>125047, Мо</w:t>
      </w:r>
      <w:r w:rsidR="00D11E05">
        <w:rPr>
          <w:szCs w:val="28"/>
        </w:rPr>
        <w:t>сква, Оружейный переулок, д.19.</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sidR="0039058A">
        <w:rPr>
          <w:szCs w:val="28"/>
        </w:rPr>
        <w:t xml:space="preserve"> </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39058A">
        <w:rPr>
          <w:szCs w:val="28"/>
        </w:rPr>
        <w:t>«</w:t>
      </w:r>
      <w:r w:rsidR="0039058A" w:rsidRPr="0039058A">
        <w:rPr>
          <w:szCs w:val="28"/>
        </w:rPr>
        <w:t>23</w:t>
      </w:r>
      <w:r w:rsidRPr="0039058A">
        <w:rPr>
          <w:szCs w:val="28"/>
        </w:rPr>
        <w:t xml:space="preserve">» </w:t>
      </w:r>
      <w:r w:rsidR="0039058A" w:rsidRPr="0039058A">
        <w:rPr>
          <w:szCs w:val="28"/>
        </w:rPr>
        <w:t>августа</w:t>
      </w:r>
      <w:r w:rsidRPr="0039058A">
        <w:rPr>
          <w:szCs w:val="28"/>
        </w:rPr>
        <w:t xml:space="preserve"> 2019 г.</w:t>
      </w:r>
      <w:r>
        <w:rPr>
          <w:szCs w:val="28"/>
        </w:rPr>
        <w:t xml:space="preserve"> по </w:t>
      </w:r>
      <w:r w:rsidRPr="0039058A">
        <w:rPr>
          <w:szCs w:val="28"/>
        </w:rPr>
        <w:t>«</w:t>
      </w:r>
      <w:r w:rsidR="00AA67B7" w:rsidRPr="00AA67B7">
        <w:rPr>
          <w:szCs w:val="28"/>
        </w:rPr>
        <w:t>13</w:t>
      </w:r>
      <w:r w:rsidRPr="0039058A">
        <w:rPr>
          <w:szCs w:val="28"/>
        </w:rPr>
        <w:t>»</w:t>
      </w:r>
      <w:r w:rsidR="005235AD" w:rsidRPr="0039058A">
        <w:rPr>
          <w:szCs w:val="28"/>
        </w:rPr>
        <w:t xml:space="preserve"> </w:t>
      </w:r>
      <w:r w:rsidR="0039058A" w:rsidRPr="0039058A">
        <w:rPr>
          <w:szCs w:val="28"/>
        </w:rPr>
        <w:t>сент</w:t>
      </w:r>
      <w:r w:rsidR="0039058A">
        <w:rPr>
          <w:szCs w:val="28"/>
        </w:rPr>
        <w:t>я</w:t>
      </w:r>
      <w:r w:rsidR="0039058A" w:rsidRPr="0039058A">
        <w:rPr>
          <w:szCs w:val="28"/>
        </w:rPr>
        <w:t>бря</w:t>
      </w:r>
      <w:r w:rsidRPr="0039058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sidR="00C359B5">
        <w:rPr>
          <w:szCs w:val="28"/>
        </w:rPr>
        <w:t>на сайте ПАО </w:t>
      </w:r>
      <w:r>
        <w:rPr>
          <w:szCs w:val="28"/>
        </w:rPr>
        <w:t>«ТрансКонтейнер»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w:t>
      </w:r>
      <w:r w:rsidR="00C359B5">
        <w:rPr>
          <w:szCs w:val="28"/>
        </w:rPr>
        <w:t> </w:t>
      </w:r>
      <w:r>
        <w:rPr>
          <w:szCs w:val="28"/>
        </w:rPr>
        <w:t>«РАД»)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C359B5" w:rsidRDefault="00C359B5" w:rsidP="009A28D0">
      <w:pPr>
        <w:jc w:val="both"/>
        <w:rPr>
          <w:b/>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39058A">
        <w:t>«</w:t>
      </w:r>
      <w:r w:rsidR="00AA67B7" w:rsidRPr="00AA67B7">
        <w:t>13</w:t>
      </w:r>
      <w:r w:rsidRPr="0039058A">
        <w:t xml:space="preserve">» </w:t>
      </w:r>
      <w:r w:rsidR="0039058A" w:rsidRPr="0039058A">
        <w:t>сентября</w:t>
      </w:r>
      <w:r w:rsidRPr="0039058A">
        <w:t xml:space="preserve"> 2019</w:t>
      </w:r>
      <w:r w:rsidR="00D87C77">
        <w:t xml:space="preserve"> г. </w:t>
      </w:r>
      <w:r w:rsidR="0039058A" w:rsidRPr="0039058A">
        <w:t>14</w:t>
      </w:r>
      <w:r w:rsidR="009E12CC" w:rsidRPr="0039058A">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D2290F" w:rsidRDefault="00D2290F" w:rsidP="00D2290F">
      <w:pPr>
        <w:jc w:val="both"/>
        <w:rPr>
          <w:b/>
        </w:rPr>
      </w:pPr>
      <w:r>
        <w:rPr>
          <w:b/>
        </w:rPr>
        <w:t>8. Проведение дополнительных этапов:</w:t>
      </w:r>
    </w:p>
    <w:p w:rsidR="00D2290F" w:rsidRPr="001F253B" w:rsidRDefault="00D2290F" w:rsidP="00D2290F">
      <w:pPr>
        <w:jc w:val="both"/>
      </w:pPr>
      <w:r>
        <w:t>8.1. Переторжка.</w:t>
      </w:r>
    </w:p>
    <w:p w:rsidR="00D2290F" w:rsidRPr="001F253B" w:rsidRDefault="00D2290F" w:rsidP="00D2290F">
      <w:pPr>
        <w:jc w:val="both"/>
      </w:pPr>
      <w:r w:rsidRPr="001F253B">
        <w:t xml:space="preserve">Дата и время начала проведения переторжки – </w:t>
      </w:r>
      <w:r w:rsidRPr="00144EBA">
        <w:t>«</w:t>
      </w:r>
      <w:r w:rsidR="00AA67B7" w:rsidRPr="00AA67B7">
        <w:t>26</w:t>
      </w:r>
      <w:r w:rsidRPr="00144EBA">
        <w:t xml:space="preserve">» </w:t>
      </w:r>
      <w:r>
        <w:t>сентября</w:t>
      </w:r>
      <w:r w:rsidRPr="001F253B">
        <w:t xml:space="preserve"> 2019 г. </w:t>
      </w:r>
      <w:r>
        <w:t>10</w:t>
      </w:r>
      <w:r w:rsidRPr="001F253B">
        <w:t xml:space="preserve"> часов 00 минут местного времени.</w:t>
      </w:r>
    </w:p>
    <w:p w:rsidR="00D2290F" w:rsidRDefault="00D2290F" w:rsidP="00D2290F">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D2290F" w:rsidRDefault="00D2290F" w:rsidP="00D2290F">
      <w:pPr>
        <w:jc w:val="both"/>
      </w:pPr>
      <w:r>
        <w:lastRenderedPageBreak/>
        <w:t xml:space="preserve">8.2. </w:t>
      </w:r>
      <w:r w:rsidRPr="001F253B">
        <w:t>Проведение квалификационного отбора участников конкурса</w:t>
      </w:r>
      <w:r>
        <w:t xml:space="preserve"> осуществляется в соответствии с пунктом 18 раздела 5 «Информационная карта» документации о закупке (если этап квалификационного отбора предусмотрен).</w:t>
      </w:r>
    </w:p>
    <w:p w:rsidR="00D2290F" w:rsidRPr="001F253B" w:rsidRDefault="00D2290F" w:rsidP="00D2290F">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2A70DC" w:rsidRPr="001F253B" w:rsidRDefault="002A70DC" w:rsidP="002A70DC">
      <w:pPr>
        <w:jc w:val="both"/>
      </w:pP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F05340" w:rsidRDefault="00F05340" w:rsidP="00F0534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A03D24" w:rsidRDefault="00F05340" w:rsidP="00F0534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sidR="0043609E">
        <w:rPr>
          <w:szCs w:val="28"/>
        </w:rPr>
        <w:t>ой</w:t>
      </w:r>
      <w:r w:rsidRPr="00422CFA">
        <w:rPr>
          <w:szCs w:val="28"/>
        </w:rPr>
        <w:t xml:space="preserve"> карт</w:t>
      </w:r>
      <w:r w:rsidR="0043609E">
        <w:rPr>
          <w:szCs w:val="28"/>
        </w:rPr>
        <w:t>ы</w:t>
      </w:r>
      <w:r>
        <w:rPr>
          <w:szCs w:val="28"/>
        </w:rPr>
        <w:t>.</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w:t>
      </w:r>
      <w:r w:rsidR="00D11E05">
        <w:rPr>
          <w:szCs w:val="28"/>
        </w:rPr>
        <w:t> </w:t>
      </w:r>
      <w:r>
        <w:rPr>
          <w:szCs w:val="28"/>
        </w:rPr>
        <w:t>«ТрансКонтейнер»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39058A">
        <w:t>«</w:t>
      </w:r>
      <w:r w:rsidR="0039058A" w:rsidRPr="0039058A">
        <w:t>1</w:t>
      </w:r>
      <w:r w:rsidR="00AA67B7" w:rsidRPr="00AA67B7">
        <w:t>8</w:t>
      </w:r>
      <w:r w:rsidR="005235AD" w:rsidRPr="0039058A">
        <w:t xml:space="preserve">» </w:t>
      </w:r>
      <w:r w:rsidR="0039058A">
        <w:t>сентября</w:t>
      </w:r>
      <w:r w:rsidR="005235AD" w:rsidRPr="005235AD">
        <w:t xml:space="preserve"> 2019 г. </w:t>
      </w:r>
      <w:r w:rsidR="0039058A">
        <w:t>14</w:t>
      </w:r>
      <w:r w:rsidR="005235AD" w:rsidRPr="005235AD">
        <w:t xml:space="preserve"> </w:t>
      </w:r>
      <w:r w:rsidR="006A6446">
        <w:t>часов 00 минут местного времени</w:t>
      </w:r>
      <w:r>
        <w:t xml:space="preserve"> по адресу</w:t>
      </w:r>
      <w:r w:rsidR="004D5E66" w:rsidRPr="004D5E66">
        <w:t>: 125047, Москва, Оруже</w:t>
      </w:r>
      <w:r w:rsidR="004D5E66">
        <w:t>йный переулок, д.19</w:t>
      </w:r>
      <w:r w:rsidR="004D5E66" w:rsidRPr="004D5E66">
        <w:t>.</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39058A">
        <w:t>«</w:t>
      </w:r>
      <w:r w:rsidR="00AA67B7" w:rsidRPr="00AA67B7">
        <w:t>27</w:t>
      </w:r>
      <w:bookmarkStart w:id="20" w:name="_GoBack"/>
      <w:bookmarkEnd w:id="20"/>
      <w:r w:rsidR="006A6446" w:rsidRPr="0039058A">
        <w:t xml:space="preserve">» </w:t>
      </w:r>
      <w:r w:rsidR="0039058A">
        <w:t>сентября</w:t>
      </w:r>
      <w:r w:rsidR="006A6446" w:rsidRPr="006A6446">
        <w:t xml:space="preserve"> 2019 г. </w:t>
      </w:r>
      <w:r w:rsidR="0039058A">
        <w:t>14</w:t>
      </w:r>
      <w:r w:rsidR="006A6446" w:rsidRPr="006A6446">
        <w:t xml:space="preserve"> </w:t>
      </w:r>
      <w:r w:rsidR="006A6446">
        <w:t xml:space="preserve">часов 00 минут местного времени </w:t>
      </w:r>
      <w:r>
        <w:t>по адресу</w:t>
      </w:r>
      <w:r w:rsidR="004D5E66" w:rsidRPr="004D5E66">
        <w:t>: 125047, Москва, Оруже</w:t>
      </w:r>
      <w:r w:rsidR="004D5E66">
        <w:t>йный переулок, д.19</w:t>
      </w:r>
      <w:r>
        <w:t xml:space="preserve">.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lastRenderedPageBreak/>
        <w:t>12. Подведение итогов не позднее:</w:t>
      </w:r>
    </w:p>
    <w:p w:rsidR="00097C59" w:rsidRDefault="006A6446" w:rsidP="006A6446">
      <w:pPr>
        <w:jc w:val="both"/>
      </w:pPr>
      <w:r w:rsidRPr="0039058A">
        <w:t>«</w:t>
      </w:r>
      <w:r w:rsidR="0039058A">
        <w:t>24</w:t>
      </w:r>
      <w:r w:rsidRPr="006A6446">
        <w:t xml:space="preserve">» </w:t>
      </w:r>
      <w:r w:rsidR="0039058A">
        <w:t>октября</w:t>
      </w:r>
      <w:r w:rsidRPr="006A6446">
        <w:t xml:space="preserve"> 2019 г. </w:t>
      </w:r>
      <w:r w:rsidR="0039058A">
        <w:t>14</w:t>
      </w:r>
      <w:r w:rsidRPr="006A6446">
        <w:t xml:space="preserve"> часов 00 минут местного времени.</w:t>
      </w:r>
      <w:r w:rsidR="00097C59">
        <w:t xml:space="preserve"> </w:t>
      </w:r>
    </w:p>
    <w:p w:rsidR="00015D16" w:rsidRDefault="00E41A01" w:rsidP="006A6446">
      <w:pPr>
        <w:jc w:val="both"/>
      </w:pPr>
      <w:r w:rsidRPr="00E05120">
        <w:t xml:space="preserve">Место: </w:t>
      </w:r>
      <w:r w:rsidR="009E12CC" w:rsidRPr="00E05120">
        <w:t xml:space="preserve">125047, </w:t>
      </w:r>
      <w:r w:rsidRPr="00E05120">
        <w:t>г Москва, Оружейный пер, д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r w:rsidR="00D11E05">
        <w:rPr>
          <w:i/>
          <w:szCs w:val="28"/>
        </w:rPr>
        <w:t>.</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484" w:rsidRDefault="00C37484" w:rsidP="00CB1C18">
      <w:r>
        <w:separator/>
      </w:r>
    </w:p>
  </w:endnote>
  <w:endnote w:type="continuationSeparator" w:id="0">
    <w:p w:rsidR="00C37484" w:rsidRDefault="00C3748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484" w:rsidRDefault="00C37484" w:rsidP="00CB1C18">
      <w:r>
        <w:separator/>
      </w:r>
    </w:p>
  </w:footnote>
  <w:footnote w:type="continuationSeparator" w:id="0">
    <w:p w:rsidR="00C37484" w:rsidRDefault="00C3748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AA67B7">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53ED"/>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135D5"/>
    <w:rsid w:val="0032153B"/>
    <w:rsid w:val="003248F4"/>
    <w:rsid w:val="00331802"/>
    <w:rsid w:val="003575C2"/>
    <w:rsid w:val="003602A1"/>
    <w:rsid w:val="003839C8"/>
    <w:rsid w:val="0039058A"/>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17329"/>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E3CC4"/>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47B94"/>
    <w:rsid w:val="00A52834"/>
    <w:rsid w:val="00A61A40"/>
    <w:rsid w:val="00A61E76"/>
    <w:rsid w:val="00A716A3"/>
    <w:rsid w:val="00A72C63"/>
    <w:rsid w:val="00A7517C"/>
    <w:rsid w:val="00A767DE"/>
    <w:rsid w:val="00A80137"/>
    <w:rsid w:val="00A80D6D"/>
    <w:rsid w:val="00A85B19"/>
    <w:rsid w:val="00A94F9B"/>
    <w:rsid w:val="00AA34B6"/>
    <w:rsid w:val="00AA36AF"/>
    <w:rsid w:val="00AA67B7"/>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59B5"/>
    <w:rsid w:val="00C37484"/>
    <w:rsid w:val="00C375C3"/>
    <w:rsid w:val="00C40A83"/>
    <w:rsid w:val="00C43903"/>
    <w:rsid w:val="00C518F8"/>
    <w:rsid w:val="00C52492"/>
    <w:rsid w:val="00C64E36"/>
    <w:rsid w:val="00C710BB"/>
    <w:rsid w:val="00C73DDA"/>
    <w:rsid w:val="00C779A6"/>
    <w:rsid w:val="00C94554"/>
    <w:rsid w:val="00C9544C"/>
    <w:rsid w:val="00CA3A20"/>
    <w:rsid w:val="00CB1C18"/>
    <w:rsid w:val="00CB2E96"/>
    <w:rsid w:val="00CB58F8"/>
    <w:rsid w:val="00CC3B3C"/>
    <w:rsid w:val="00CC5281"/>
    <w:rsid w:val="00CE09CD"/>
    <w:rsid w:val="00CE3802"/>
    <w:rsid w:val="00CF0827"/>
    <w:rsid w:val="00D0636A"/>
    <w:rsid w:val="00D06A88"/>
    <w:rsid w:val="00D11E05"/>
    <w:rsid w:val="00D21C01"/>
    <w:rsid w:val="00D2290F"/>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5120"/>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3EBFF-F6DD-458A-939B-5EF413E6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B82CF-7CAD-4AD0-AB51-26A36B05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4</cp:revision>
  <cp:lastPrinted>2013-04-01T13:23:00Z</cp:lastPrinted>
  <dcterms:created xsi:type="dcterms:W3CDTF">2019-08-23T07:45:00Z</dcterms:created>
  <dcterms:modified xsi:type="dcterms:W3CDTF">2019-09-05T06:32:00Z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