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680210"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ул.Дзержинского,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F265C7" w:rsidRPr="00A03F47" w:rsidRDefault="00680210" w:rsidP="00EB34B1">
                          <w:pPr>
                            <w:spacing w:before="20"/>
                            <w:rPr>
                              <w:sz w:val="20"/>
                              <w:szCs w:val="20"/>
                            </w:rPr>
                          </w:pPr>
                          <w:hyperlink r:id="rId8"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576257" w:rsidRDefault="00F265C7" w:rsidP="00363509">
                          <w:pPr>
                            <w:rPr>
                              <w:rFonts w:ascii="Arial" w:hAnsi="Arial" w:cs="Arial"/>
                              <w:sz w:val="20"/>
                            </w:rPr>
                          </w:pPr>
                        </w:p>
                        <w:p w:rsidR="00F265C7" w:rsidRPr="00576257" w:rsidRDefault="0074713A" w:rsidP="00363509">
                          <w:pPr>
                            <w:rPr>
                              <w:rFonts w:ascii="Arial" w:hAnsi="Arial" w:cs="Arial"/>
                              <w:sz w:val="20"/>
                            </w:rPr>
                          </w:pPr>
                          <w:r>
                            <w:rPr>
                              <w:rFonts w:ascii="Arial" w:hAnsi="Arial" w:cs="Arial"/>
                              <w:sz w:val="20"/>
                            </w:rPr>
                            <w:t>4</w:t>
                          </w:r>
                          <w:r w:rsidR="00147FF5">
                            <w:rPr>
                              <w:rFonts w:ascii="Arial" w:hAnsi="Arial" w:cs="Arial"/>
                              <w:sz w:val="20"/>
                            </w:rPr>
                            <w:t>/</w:t>
                          </w:r>
                          <w:r w:rsidR="00F265C7">
                            <w:rPr>
                              <w:rFonts w:ascii="Arial" w:hAnsi="Arial" w:cs="Arial"/>
                              <w:sz w:val="20"/>
                            </w:rPr>
                            <w:t xml:space="preserve"> </w:t>
                          </w:r>
                          <w:r w:rsidR="00F265C7" w:rsidRPr="00576257">
                            <w:rPr>
                              <w:rFonts w:ascii="Arial" w:hAnsi="Arial" w:cs="Arial"/>
                              <w:sz w:val="20"/>
                            </w:rPr>
                            <w:t xml:space="preserve">№ </w:t>
                          </w:r>
                          <w:r w:rsidR="00147FF5">
                            <w:rPr>
                              <w:rFonts w:ascii="Arial" w:hAnsi="Arial" w:cs="Arial"/>
                              <w:sz w:val="20"/>
                            </w:rPr>
                            <w:t>НКПЛ/20 от</w:t>
                          </w:r>
                          <w:r w:rsidR="00101C96">
                            <w:rPr>
                              <w:rFonts w:ascii="Arial" w:hAnsi="Arial" w:cs="Arial"/>
                              <w:sz w:val="20"/>
                            </w:rPr>
                            <w:t xml:space="preserve"> 30</w:t>
                          </w:r>
                          <w:r w:rsidR="00147FF5">
                            <w:rPr>
                              <w:rFonts w:ascii="Arial" w:hAnsi="Arial" w:cs="Arial"/>
                              <w:sz w:val="20"/>
                            </w:rPr>
                            <w:t>.</w:t>
                          </w:r>
                          <w:r>
                            <w:rPr>
                              <w:rFonts w:ascii="Arial" w:hAnsi="Arial" w:cs="Arial"/>
                              <w:sz w:val="20"/>
                            </w:rPr>
                            <w:t>10</w:t>
                          </w:r>
                          <w:r w:rsidR="00147FF5">
                            <w:rPr>
                              <w:rFonts w:ascii="Arial" w:hAnsi="Arial" w:cs="Arial"/>
                              <w:sz w:val="20"/>
                            </w:rPr>
                            <w:t>.2020 года</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73641C">
      <w:pPr>
        <w:pStyle w:val="11"/>
        <w:tabs>
          <w:tab w:val="left" w:pos="709"/>
        </w:tabs>
        <w:suppressAutoHyphens/>
        <w:spacing w:line="276" w:lineRule="auto"/>
        <w:ind w:firstLine="0"/>
        <w:rPr>
          <w:rFonts w:eastAsia="MS Mincho"/>
          <w:b/>
          <w:bCs/>
          <w:szCs w:val="28"/>
        </w:rPr>
      </w:pPr>
      <w:r>
        <w:rPr>
          <w:b/>
          <w:bCs/>
          <w:szCs w:val="28"/>
        </w:rPr>
        <w:t xml:space="preserve">          </w:t>
      </w:r>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C91E16">
        <w:rPr>
          <w:b/>
          <w:bCs/>
          <w:szCs w:val="28"/>
        </w:rPr>
        <w:t>20-0007</w:t>
      </w:r>
      <w:r w:rsidR="00AC357A">
        <w:rPr>
          <w:b/>
          <w:bCs/>
          <w:szCs w:val="28"/>
        </w:rPr>
        <w:t xml:space="preserve"> </w:t>
      </w:r>
      <w:r w:rsidR="005C6179">
        <w:t xml:space="preserve"> </w:t>
      </w:r>
      <w:r w:rsidR="005C6179" w:rsidRPr="00106E28">
        <w:rPr>
          <w:b/>
          <w:szCs w:val="28"/>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p w:rsidR="005A5621" w:rsidRPr="00BC1322" w:rsidRDefault="005A5621" w:rsidP="00B37B7D">
      <w:pPr>
        <w:pStyle w:val="11"/>
        <w:suppressAutoHyphens/>
        <w:spacing w:line="276" w:lineRule="auto"/>
        <w:ind w:firstLine="0"/>
        <w:rPr>
          <w:rFonts w:eastAsia="MS Mincho"/>
          <w:b/>
          <w:bCs/>
          <w:szCs w:val="28"/>
        </w:rPr>
      </w:pPr>
    </w:p>
    <w:p w:rsidR="00160A5C" w:rsidRPr="00BC1322" w:rsidRDefault="003D7403" w:rsidP="0027137E">
      <w:pPr>
        <w:pStyle w:val="11"/>
        <w:tabs>
          <w:tab w:val="left" w:pos="426"/>
          <w:tab w:val="left" w:pos="709"/>
        </w:tabs>
        <w:suppressAutoHyphens/>
        <w:spacing w:line="276" w:lineRule="auto"/>
        <w:ind w:firstLine="0"/>
        <w:rPr>
          <w:rFonts w:eastAsia="MS Mincho"/>
          <w:bCs/>
          <w:szCs w:val="28"/>
        </w:rPr>
      </w:pPr>
      <w:r w:rsidRPr="00BC1322">
        <w:rPr>
          <w:szCs w:val="28"/>
        </w:rPr>
        <w:t xml:space="preserve">   </w:t>
      </w:r>
      <w:r w:rsidR="008C6D3F" w:rsidRPr="00BC1322">
        <w:rPr>
          <w:szCs w:val="28"/>
        </w:rPr>
        <w:t xml:space="preserve">   </w:t>
      </w:r>
      <w:r w:rsidR="00460FDB" w:rsidRPr="00BC1322">
        <w:rPr>
          <w:szCs w:val="28"/>
        </w:rPr>
        <w:t xml:space="preserve">   </w:t>
      </w:r>
      <w:r w:rsidRPr="00BC1322">
        <w:rPr>
          <w:szCs w:val="28"/>
        </w:rPr>
        <w:t xml:space="preserve">  </w:t>
      </w:r>
      <w:r w:rsidR="005A3539" w:rsidRPr="00BC1322">
        <w:rPr>
          <w:b/>
          <w:szCs w:val="28"/>
        </w:rPr>
        <w:t>1)</w:t>
      </w:r>
      <w:r w:rsidRPr="00BC1322">
        <w:rPr>
          <w:szCs w:val="28"/>
        </w:rPr>
        <w:t xml:space="preserve"> </w:t>
      </w:r>
      <w:r w:rsidR="00F87ECD" w:rsidRPr="00BC1322">
        <w:rPr>
          <w:szCs w:val="28"/>
        </w:rPr>
        <w:t xml:space="preserve"> </w:t>
      </w:r>
      <w:r w:rsidR="00F87ECD" w:rsidRPr="00BC1322">
        <w:rPr>
          <w:rFonts w:eastAsia="MS Mincho"/>
          <w:bCs/>
          <w:szCs w:val="28"/>
        </w:rPr>
        <w:t>п.</w:t>
      </w:r>
      <w:r w:rsidR="006A5086" w:rsidRPr="00BC1322">
        <w:rPr>
          <w:rFonts w:eastAsia="MS Mincho"/>
          <w:bCs/>
          <w:szCs w:val="28"/>
        </w:rPr>
        <w:t>17</w:t>
      </w:r>
      <w:r w:rsidR="00F87ECD" w:rsidRPr="00BC1322">
        <w:rPr>
          <w:rFonts w:eastAsia="MS Mincho"/>
          <w:bCs/>
          <w:szCs w:val="28"/>
        </w:rPr>
        <w:t>., раздела №5</w:t>
      </w:r>
      <w:r w:rsidR="00172200" w:rsidRPr="00BC1322">
        <w:rPr>
          <w:rFonts w:eastAsia="MS Mincho"/>
          <w:bCs/>
          <w:szCs w:val="28"/>
        </w:rPr>
        <w:t xml:space="preserve"> документации о закупке</w:t>
      </w:r>
      <w:r w:rsidR="00532B3B" w:rsidRPr="00BC1322">
        <w:rPr>
          <w:rFonts w:eastAsia="MS Mincho"/>
          <w:bCs/>
          <w:szCs w:val="28"/>
        </w:rPr>
        <w:t xml:space="preserve"> </w:t>
      </w:r>
      <w:r w:rsidR="00172200" w:rsidRPr="00BC1322">
        <w:rPr>
          <w:rFonts w:eastAsia="MS Mincho"/>
          <w:bCs/>
          <w:szCs w:val="28"/>
        </w:rPr>
        <w:t>«</w:t>
      </w:r>
      <w:r w:rsidR="00B06E7C" w:rsidRPr="00BC1322">
        <w:rPr>
          <w:rFonts w:eastAsia="MS Mincho"/>
          <w:bCs/>
          <w:szCs w:val="28"/>
        </w:rPr>
        <w:t xml:space="preserve"> </w:t>
      </w:r>
      <w:r w:rsidR="00F87ECD" w:rsidRPr="00BC1322">
        <w:rPr>
          <w:rFonts w:eastAsia="MS Mincho"/>
          <w:bCs/>
          <w:szCs w:val="28"/>
        </w:rPr>
        <w:t xml:space="preserve">Информационная карта» </w:t>
      </w:r>
      <w:r w:rsidR="006A5086" w:rsidRPr="00BC1322">
        <w:rPr>
          <w:rFonts w:eastAsia="MS Mincho"/>
          <w:bCs/>
          <w:szCs w:val="28"/>
        </w:rPr>
        <w:t>дополнить п.1.4., 1.5., 1.6.</w:t>
      </w:r>
      <w:r w:rsidR="00C91E16" w:rsidRPr="00BC1322">
        <w:rPr>
          <w:rFonts w:eastAsia="MS Mincho"/>
          <w:bCs/>
          <w:szCs w:val="28"/>
        </w:rPr>
        <w:t xml:space="preserve"> и читать в следующей редакции:</w:t>
      </w:r>
    </w:p>
    <w:p w:rsidR="008C3ADE" w:rsidRPr="00BC1322" w:rsidRDefault="008C3ADE" w:rsidP="001F67A7">
      <w:pPr>
        <w:tabs>
          <w:tab w:val="left" w:pos="709"/>
        </w:tabs>
        <w:jc w:val="both"/>
        <w:rPr>
          <w:sz w:val="28"/>
          <w:szCs w:val="28"/>
        </w:rPr>
      </w:pPr>
      <w:r w:rsidRPr="00BC1322">
        <w:rPr>
          <w:sz w:val="28"/>
          <w:szCs w:val="28"/>
        </w:rPr>
        <w:t xml:space="preserve">  </w:t>
      </w:r>
      <w:r w:rsidR="001F67A7" w:rsidRPr="00BC1322">
        <w:rPr>
          <w:sz w:val="28"/>
          <w:szCs w:val="28"/>
        </w:rPr>
        <w:t xml:space="preserve">     </w:t>
      </w:r>
      <w:r w:rsidRPr="00BC1322">
        <w:rPr>
          <w:sz w:val="28"/>
          <w:szCs w:val="28"/>
        </w:rPr>
        <w:t xml:space="preserve"> </w:t>
      </w:r>
      <w:r w:rsidR="001F67A7" w:rsidRPr="00BC1322">
        <w:rPr>
          <w:sz w:val="28"/>
          <w:szCs w:val="28"/>
        </w:rPr>
        <w:t xml:space="preserve"> </w:t>
      </w:r>
      <w:r w:rsidRPr="00BC1322">
        <w:rPr>
          <w:sz w:val="28"/>
          <w:szCs w:val="28"/>
        </w:rPr>
        <w:t>«1.4</w:t>
      </w:r>
      <w:r w:rsidR="00316F40" w:rsidRPr="00BC1322">
        <w:rPr>
          <w:sz w:val="28"/>
          <w:szCs w:val="28"/>
        </w:rPr>
        <w:t xml:space="preserve">.  </w:t>
      </w:r>
      <w:r w:rsidRPr="00BC1322">
        <w:rPr>
          <w:sz w:val="28"/>
          <w:szCs w:val="28"/>
        </w:rPr>
        <w:t>претендент должен иметь статус морского порта;</w:t>
      </w:r>
    </w:p>
    <w:p w:rsidR="008C3ADE" w:rsidRPr="00BC1322" w:rsidRDefault="008C3ADE" w:rsidP="008C3ADE">
      <w:pPr>
        <w:pStyle w:val="11"/>
        <w:ind w:left="34" w:firstLine="0"/>
        <w:rPr>
          <w:szCs w:val="28"/>
        </w:rPr>
      </w:pPr>
      <w:r w:rsidRPr="00BC1322">
        <w:rPr>
          <w:szCs w:val="28"/>
        </w:rPr>
        <w:t xml:space="preserve">  </w:t>
      </w:r>
      <w:r w:rsidR="001F67A7" w:rsidRPr="00BC1322">
        <w:rPr>
          <w:szCs w:val="28"/>
        </w:rPr>
        <w:t xml:space="preserve">        </w:t>
      </w:r>
      <w:r w:rsidRPr="00BC1322">
        <w:rPr>
          <w:szCs w:val="28"/>
        </w:rPr>
        <w:t>1.5</w:t>
      </w:r>
      <w:r w:rsidR="00316F40" w:rsidRPr="00BC1322">
        <w:rPr>
          <w:szCs w:val="28"/>
        </w:rPr>
        <w:t xml:space="preserve">. </w:t>
      </w:r>
      <w:r w:rsidRPr="00BC1322">
        <w:rPr>
          <w:szCs w:val="28"/>
        </w:rPr>
        <w:t xml:space="preserve"> претендент должен иметь возможность оказывать и/или организ</w:t>
      </w:r>
      <w:r w:rsidRPr="00BC1322">
        <w:rPr>
          <w:szCs w:val="28"/>
        </w:rPr>
        <w:t>о</w:t>
      </w:r>
      <w:r w:rsidRPr="00BC1322">
        <w:rPr>
          <w:szCs w:val="28"/>
        </w:rPr>
        <w:t>вать оказание транспортно-экспедиционных услуг в отношении гр</w:t>
      </w:r>
      <w:r w:rsidRPr="00BC1322">
        <w:rPr>
          <w:szCs w:val="28"/>
        </w:rPr>
        <w:t>у</w:t>
      </w:r>
      <w:r w:rsidRPr="00BC1322">
        <w:rPr>
          <w:szCs w:val="28"/>
        </w:rPr>
        <w:t>зов/контейнеров в портах Дальнего Востока.</w:t>
      </w:r>
    </w:p>
    <w:p w:rsidR="008C3ADE" w:rsidRPr="00BC1322" w:rsidRDefault="0013304D" w:rsidP="00B52C5E">
      <w:pPr>
        <w:pStyle w:val="a4"/>
        <w:tabs>
          <w:tab w:val="left" w:pos="567"/>
          <w:tab w:val="left" w:pos="709"/>
        </w:tabs>
        <w:ind w:firstLine="459"/>
        <w:rPr>
          <w:sz w:val="28"/>
          <w:szCs w:val="28"/>
        </w:rPr>
      </w:pPr>
      <w:r w:rsidRPr="00BC1322">
        <w:rPr>
          <w:sz w:val="28"/>
          <w:szCs w:val="28"/>
        </w:rPr>
        <w:t xml:space="preserve">   </w:t>
      </w:r>
      <w:r w:rsidR="008C3ADE" w:rsidRPr="00BC1322">
        <w:rPr>
          <w:sz w:val="28"/>
          <w:szCs w:val="28"/>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также оказание иных транспортно-экспедиционных услуг, связанных с перевалкой грузов/контейнеров</w:t>
      </w:r>
      <w:r w:rsidR="008C3ADE" w:rsidRPr="00BC1322">
        <w:rPr>
          <w:sz w:val="28"/>
          <w:szCs w:val="28"/>
          <w:lang w:eastAsia="ru-RU"/>
        </w:rPr>
        <w:t>.</w:t>
      </w:r>
      <w:r w:rsidR="008C3ADE" w:rsidRPr="00BC1322">
        <w:rPr>
          <w:sz w:val="28"/>
          <w:szCs w:val="28"/>
        </w:rPr>
        <w:t xml:space="preserve"> </w:t>
      </w:r>
    </w:p>
    <w:p w:rsidR="008C3ADE" w:rsidRPr="00BC1322" w:rsidRDefault="008C3ADE" w:rsidP="001F67A7">
      <w:pPr>
        <w:pStyle w:val="a4"/>
        <w:tabs>
          <w:tab w:val="left" w:pos="0"/>
          <w:tab w:val="left" w:pos="709"/>
          <w:tab w:val="left" w:pos="1440"/>
        </w:tabs>
        <w:ind w:firstLine="0"/>
        <w:rPr>
          <w:sz w:val="28"/>
          <w:szCs w:val="28"/>
          <w:lang w:eastAsia="ru-RU"/>
        </w:rPr>
      </w:pPr>
      <w:r w:rsidRPr="00BC1322">
        <w:rPr>
          <w:sz w:val="28"/>
          <w:szCs w:val="28"/>
          <w:lang w:eastAsia="ru-RU"/>
        </w:rPr>
        <w:t xml:space="preserve"> </w:t>
      </w:r>
      <w:r w:rsidR="001F67A7" w:rsidRPr="00BC1322">
        <w:rPr>
          <w:sz w:val="28"/>
          <w:szCs w:val="28"/>
          <w:lang w:eastAsia="ru-RU"/>
        </w:rPr>
        <w:t xml:space="preserve">         </w:t>
      </w:r>
      <w:r w:rsidRPr="00BC1322">
        <w:rPr>
          <w:sz w:val="28"/>
          <w:szCs w:val="28"/>
          <w:lang w:eastAsia="ru-RU"/>
        </w:rPr>
        <w:t xml:space="preserve"> 1.6. претендент должен иметь возможность оказывать услуги, указанные им в приложении № 3 документации о закупке, собственными силами, и предоставить документ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владения необходимой инфраструктурой, средствами механизации, грузовым автотранспортом, грузоподъемными механизмами и т.д.»</w:t>
      </w:r>
    </w:p>
    <w:p w:rsidR="00B52C5E" w:rsidRPr="00BC1322" w:rsidRDefault="00405CFB" w:rsidP="00405CFB">
      <w:pPr>
        <w:pStyle w:val="11"/>
        <w:suppressAutoHyphens/>
        <w:spacing w:line="276" w:lineRule="auto"/>
        <w:ind w:firstLine="0"/>
        <w:rPr>
          <w:szCs w:val="28"/>
        </w:rPr>
      </w:pPr>
      <w:r w:rsidRPr="00BC1322">
        <w:rPr>
          <w:szCs w:val="28"/>
        </w:rPr>
        <w:t xml:space="preserve">         </w:t>
      </w:r>
      <w:r w:rsidR="00B52C5E" w:rsidRPr="00BC1322">
        <w:rPr>
          <w:szCs w:val="28"/>
        </w:rPr>
        <w:t xml:space="preserve"> </w:t>
      </w:r>
    </w:p>
    <w:p w:rsidR="00405CFB" w:rsidRPr="00BC1322" w:rsidRDefault="00B52C5E" w:rsidP="00405CFB">
      <w:pPr>
        <w:pStyle w:val="11"/>
        <w:suppressAutoHyphens/>
        <w:spacing w:line="276" w:lineRule="auto"/>
        <w:ind w:firstLine="0"/>
        <w:rPr>
          <w:rFonts w:eastAsia="MS Mincho"/>
          <w:bCs/>
          <w:szCs w:val="28"/>
        </w:rPr>
      </w:pPr>
      <w:r w:rsidRPr="00BC1322">
        <w:rPr>
          <w:szCs w:val="28"/>
        </w:rPr>
        <w:lastRenderedPageBreak/>
        <w:t xml:space="preserve">         </w:t>
      </w:r>
      <w:r w:rsidR="00405CFB" w:rsidRPr="00BC1322">
        <w:rPr>
          <w:szCs w:val="28"/>
        </w:rPr>
        <w:t xml:space="preserve">  </w:t>
      </w:r>
      <w:r w:rsidR="00405CFB" w:rsidRPr="00BC1322">
        <w:rPr>
          <w:b/>
          <w:szCs w:val="28"/>
        </w:rPr>
        <w:t>2)</w:t>
      </w:r>
      <w:r w:rsidR="00405CFB" w:rsidRPr="00BC1322">
        <w:rPr>
          <w:szCs w:val="28"/>
        </w:rPr>
        <w:t xml:space="preserve"> </w:t>
      </w:r>
      <w:r w:rsidR="00405CFB" w:rsidRPr="00BC1322">
        <w:rPr>
          <w:rFonts w:eastAsia="MS Mincho"/>
          <w:bCs/>
          <w:szCs w:val="28"/>
        </w:rPr>
        <w:t>п.8., п.п.1  раздела №5 документации о закупке « Информационная карта» изменить и читать в следующей редакции:</w:t>
      </w:r>
    </w:p>
    <w:p w:rsidR="00405CFB" w:rsidRPr="00BC1322" w:rsidRDefault="00405CFB" w:rsidP="00405CFB">
      <w:pPr>
        <w:pStyle w:val="11"/>
        <w:ind w:firstLine="397"/>
        <w:rPr>
          <w:szCs w:val="28"/>
        </w:rPr>
      </w:pPr>
      <w:r w:rsidRPr="00BC1322">
        <w:rPr>
          <w:szCs w:val="28"/>
        </w:rPr>
        <w:t>Вскрытие, рассмотрение, оценка и сопоставление Заявок осуществляется по адресу, указанному в пункте 2 Информационной карты,  поэтапно:</w:t>
      </w:r>
    </w:p>
    <w:p w:rsidR="00405CFB" w:rsidRPr="00BC1322" w:rsidRDefault="00405CFB" w:rsidP="00405CFB">
      <w:pPr>
        <w:rPr>
          <w:sz w:val="28"/>
          <w:szCs w:val="28"/>
        </w:rPr>
      </w:pPr>
      <w:r w:rsidRPr="00BC1322">
        <w:rPr>
          <w:sz w:val="28"/>
          <w:szCs w:val="28"/>
        </w:rPr>
        <w:t xml:space="preserve">         </w:t>
      </w:r>
      <w:r w:rsidR="00B52C5E" w:rsidRPr="00BC1322">
        <w:rPr>
          <w:sz w:val="28"/>
          <w:szCs w:val="28"/>
        </w:rPr>
        <w:t xml:space="preserve"> </w:t>
      </w:r>
      <w:r w:rsidRPr="00BC1322">
        <w:rPr>
          <w:sz w:val="28"/>
          <w:szCs w:val="28"/>
        </w:rPr>
        <w:t xml:space="preserve"> 2) По второму этапу при наличии Заявок состоится  </w:t>
      </w:r>
      <w:r w:rsidRPr="00BC1322">
        <w:rPr>
          <w:sz w:val="28"/>
          <w:szCs w:val="28"/>
          <w:shd w:val="clear" w:color="auto" w:fill="FFFF00"/>
        </w:rPr>
        <w:t>«02» ноября 2020 г.</w:t>
      </w:r>
      <w:r w:rsidRPr="00BC1322">
        <w:rPr>
          <w:sz w:val="28"/>
          <w:szCs w:val="28"/>
        </w:rPr>
        <w:t> в 14 часов 00 минут местного времени;</w:t>
      </w:r>
    </w:p>
    <w:p w:rsidR="00405CFB" w:rsidRPr="00BC1322" w:rsidRDefault="00405CFB" w:rsidP="00405CFB">
      <w:pPr>
        <w:rPr>
          <w:sz w:val="28"/>
          <w:szCs w:val="28"/>
        </w:rPr>
      </w:pPr>
      <w:r w:rsidRPr="00BC1322">
        <w:rPr>
          <w:sz w:val="28"/>
          <w:szCs w:val="28"/>
        </w:rPr>
        <w:t xml:space="preserve">         </w:t>
      </w:r>
      <w:r w:rsidR="00B52C5E" w:rsidRPr="00BC1322">
        <w:rPr>
          <w:sz w:val="28"/>
          <w:szCs w:val="28"/>
        </w:rPr>
        <w:t xml:space="preserve">  </w:t>
      </w:r>
      <w:r w:rsidRPr="00BC1322">
        <w:rPr>
          <w:sz w:val="28"/>
          <w:szCs w:val="28"/>
        </w:rPr>
        <w:t>3)  Третий и последующие этапы при поступлении Заявок после пр</w:t>
      </w:r>
      <w:r w:rsidRPr="00BC1322">
        <w:rPr>
          <w:sz w:val="28"/>
          <w:szCs w:val="28"/>
        </w:rPr>
        <w:t>е</w:t>
      </w:r>
      <w:r w:rsidRPr="00BC1322">
        <w:rPr>
          <w:sz w:val="28"/>
          <w:szCs w:val="28"/>
        </w:rPr>
        <w:t>дыдущего этапа - последнюю рабочую пятницу квартала;</w:t>
      </w:r>
    </w:p>
    <w:p w:rsidR="00405CFB" w:rsidRPr="00BC1322" w:rsidRDefault="00405CFB" w:rsidP="00405CFB">
      <w:pPr>
        <w:pStyle w:val="a4"/>
        <w:tabs>
          <w:tab w:val="left" w:pos="0"/>
          <w:tab w:val="left" w:pos="709"/>
          <w:tab w:val="left" w:pos="1440"/>
        </w:tabs>
        <w:ind w:firstLine="0"/>
        <w:rPr>
          <w:sz w:val="28"/>
          <w:szCs w:val="28"/>
          <w:lang w:eastAsia="ru-RU"/>
        </w:rPr>
      </w:pPr>
      <w:r w:rsidRPr="00BC1322">
        <w:rPr>
          <w:sz w:val="28"/>
          <w:szCs w:val="28"/>
          <w:lang w:eastAsia="ru-RU"/>
        </w:rPr>
        <w:t xml:space="preserve">       </w:t>
      </w:r>
      <w:r w:rsidR="00B52C5E" w:rsidRPr="00BC1322">
        <w:rPr>
          <w:sz w:val="28"/>
          <w:szCs w:val="28"/>
          <w:lang w:eastAsia="ru-RU"/>
        </w:rPr>
        <w:t xml:space="preserve">   </w:t>
      </w:r>
      <w:r w:rsidRPr="00BC1322">
        <w:rPr>
          <w:sz w:val="28"/>
          <w:szCs w:val="28"/>
          <w:lang w:eastAsia="ru-RU"/>
        </w:rPr>
        <w:t>4)   Последний этап - не позднее 10 календарных дней с даты окончания приема заявок, указанной в пункте 7 Информационной карты.  </w:t>
      </w:r>
    </w:p>
    <w:p w:rsidR="00B52C5E" w:rsidRPr="00BC1322" w:rsidRDefault="00405CFB" w:rsidP="00405CFB">
      <w:pPr>
        <w:pStyle w:val="11"/>
        <w:suppressAutoHyphens/>
        <w:spacing w:line="276" w:lineRule="auto"/>
        <w:ind w:firstLine="0"/>
        <w:rPr>
          <w:b/>
          <w:szCs w:val="28"/>
        </w:rPr>
      </w:pPr>
      <w:r w:rsidRPr="00BC1322">
        <w:rPr>
          <w:b/>
          <w:szCs w:val="28"/>
        </w:rPr>
        <w:t xml:space="preserve">      </w:t>
      </w:r>
      <w:r w:rsidR="00B52C5E" w:rsidRPr="00BC1322">
        <w:rPr>
          <w:b/>
          <w:szCs w:val="28"/>
        </w:rPr>
        <w:t xml:space="preserve">   </w:t>
      </w:r>
    </w:p>
    <w:p w:rsidR="00405CFB" w:rsidRPr="00BC1322" w:rsidRDefault="00B52C5E" w:rsidP="007B54BB">
      <w:pPr>
        <w:pStyle w:val="11"/>
        <w:tabs>
          <w:tab w:val="left" w:pos="709"/>
        </w:tabs>
        <w:suppressAutoHyphens/>
        <w:spacing w:line="276" w:lineRule="auto"/>
        <w:ind w:firstLine="0"/>
        <w:rPr>
          <w:rFonts w:eastAsia="MS Mincho"/>
          <w:bCs/>
          <w:szCs w:val="28"/>
        </w:rPr>
      </w:pPr>
      <w:r w:rsidRPr="00BC1322">
        <w:rPr>
          <w:b/>
          <w:szCs w:val="28"/>
        </w:rPr>
        <w:t xml:space="preserve">          3</w:t>
      </w:r>
      <w:r w:rsidR="00405CFB" w:rsidRPr="00BC1322">
        <w:rPr>
          <w:b/>
          <w:szCs w:val="28"/>
        </w:rPr>
        <w:t>)</w:t>
      </w:r>
      <w:r w:rsidR="00405CFB" w:rsidRPr="00BC1322">
        <w:rPr>
          <w:szCs w:val="28"/>
        </w:rPr>
        <w:t xml:space="preserve">  </w:t>
      </w:r>
      <w:r w:rsidR="00405CFB" w:rsidRPr="00BC1322">
        <w:rPr>
          <w:rFonts w:eastAsia="MS Mincho"/>
          <w:bCs/>
          <w:szCs w:val="28"/>
        </w:rPr>
        <w:t>п.9., п.п. 1 раздела №5 документации о закупке « Информационная карта» изменить и читать в следующей редакции:</w:t>
      </w:r>
    </w:p>
    <w:p w:rsidR="00405CFB" w:rsidRPr="00BC1322" w:rsidRDefault="00405CFB" w:rsidP="00405CFB">
      <w:pPr>
        <w:pStyle w:val="11"/>
        <w:ind w:firstLine="0"/>
        <w:rPr>
          <w:szCs w:val="28"/>
        </w:rPr>
      </w:pPr>
      <w:r w:rsidRPr="00BC1322">
        <w:rPr>
          <w:szCs w:val="28"/>
        </w:rPr>
        <w:t>Подведение итогов осуществляется по адресу, указанному в пункте 3 И</w:t>
      </w:r>
      <w:r w:rsidRPr="00BC1322">
        <w:rPr>
          <w:szCs w:val="28"/>
        </w:rPr>
        <w:t>н</w:t>
      </w:r>
      <w:r w:rsidRPr="00BC1322">
        <w:rPr>
          <w:szCs w:val="28"/>
        </w:rPr>
        <w:t>формационной карты, поэтапно:</w:t>
      </w:r>
    </w:p>
    <w:p w:rsidR="006E79BE" w:rsidRPr="00BC1322" w:rsidRDefault="006E79BE" w:rsidP="006E79BE">
      <w:pPr>
        <w:tabs>
          <w:tab w:val="left" w:pos="709"/>
        </w:tabs>
        <w:rPr>
          <w:sz w:val="28"/>
          <w:szCs w:val="28"/>
        </w:rPr>
      </w:pPr>
      <w:r w:rsidRPr="00BC1322">
        <w:rPr>
          <w:sz w:val="28"/>
          <w:szCs w:val="28"/>
        </w:rPr>
        <w:t xml:space="preserve">          2) По второму этапу при наличии Заявок состоится  </w:t>
      </w:r>
      <w:r w:rsidRPr="00BC1322">
        <w:rPr>
          <w:sz w:val="28"/>
          <w:szCs w:val="28"/>
          <w:shd w:val="clear" w:color="auto" w:fill="FFFF00"/>
        </w:rPr>
        <w:t>«02» декабря 2020 г. в </w:t>
      </w:r>
      <w:r w:rsidRPr="00BC1322">
        <w:rPr>
          <w:sz w:val="28"/>
          <w:szCs w:val="28"/>
        </w:rPr>
        <w:t>14 часов 00 минут местного времени; </w:t>
      </w:r>
    </w:p>
    <w:p w:rsidR="006E79BE" w:rsidRPr="00BC1322" w:rsidRDefault="006E79BE" w:rsidP="006E79BE">
      <w:pPr>
        <w:rPr>
          <w:sz w:val="28"/>
          <w:szCs w:val="28"/>
        </w:rPr>
      </w:pPr>
      <w:r w:rsidRPr="00BC1322">
        <w:rPr>
          <w:sz w:val="28"/>
          <w:szCs w:val="28"/>
        </w:rPr>
        <w:t xml:space="preserve">          3) Третий  и последующие этапы при поступлении Заявок не позднее 21 календарного дня с даты рассмотрения Заявок соответствующего этапа - последнюю рабочую пятницу квартала;</w:t>
      </w:r>
    </w:p>
    <w:p w:rsidR="006E79BE" w:rsidRPr="00BC1322" w:rsidRDefault="006E79BE" w:rsidP="006E79BE">
      <w:pPr>
        <w:rPr>
          <w:sz w:val="28"/>
          <w:szCs w:val="28"/>
        </w:rPr>
      </w:pPr>
      <w:r w:rsidRPr="00BC1322">
        <w:rPr>
          <w:sz w:val="28"/>
          <w:szCs w:val="28"/>
        </w:rPr>
        <w:t>          4) Последний этап - не позднее 10 календарных дней с даты окончания приема заявок, указанной в пункте 7 Информационной карты.</w:t>
      </w:r>
    </w:p>
    <w:p w:rsidR="00405CFB" w:rsidRPr="00BC1322" w:rsidRDefault="00405CFB" w:rsidP="001F67A7">
      <w:pPr>
        <w:pStyle w:val="a4"/>
        <w:tabs>
          <w:tab w:val="left" w:pos="0"/>
          <w:tab w:val="left" w:pos="709"/>
          <w:tab w:val="left" w:pos="1440"/>
        </w:tabs>
        <w:ind w:firstLine="0"/>
        <w:rPr>
          <w:sz w:val="28"/>
          <w:szCs w:val="28"/>
          <w:lang w:eastAsia="ru-RU"/>
        </w:rPr>
      </w:pPr>
    </w:p>
    <w:p w:rsidR="008C3ADE" w:rsidRDefault="008C3ADE" w:rsidP="00936367">
      <w:pPr>
        <w:spacing w:before="60" w:after="60"/>
        <w:jc w:val="both"/>
        <w:rPr>
          <w:sz w:val="28"/>
          <w:szCs w:val="28"/>
        </w:rPr>
      </w:pPr>
    </w:p>
    <w:p w:rsidR="008C3ADE" w:rsidRDefault="008C3ADE" w:rsidP="00936367">
      <w:pPr>
        <w:spacing w:before="60" w:after="60"/>
        <w:jc w:val="both"/>
        <w:rPr>
          <w:sz w:val="28"/>
          <w:szCs w:val="28"/>
        </w:rPr>
      </w:pPr>
    </w:p>
    <w:p w:rsidR="0004690D" w:rsidRDefault="0004690D" w:rsidP="00936367">
      <w:pPr>
        <w:spacing w:before="60" w:after="60"/>
        <w:jc w:val="both"/>
        <w:rPr>
          <w:sz w:val="28"/>
          <w:szCs w:val="28"/>
        </w:rPr>
      </w:pPr>
    </w:p>
    <w:p w:rsidR="00815AD8" w:rsidRDefault="00815AD8" w:rsidP="00936367">
      <w:pPr>
        <w:spacing w:before="60" w:after="60"/>
        <w:jc w:val="both"/>
        <w:rPr>
          <w:sz w:val="28"/>
          <w:szCs w:val="28"/>
        </w:rPr>
      </w:pPr>
      <w:r>
        <w:rPr>
          <w:sz w:val="28"/>
          <w:szCs w:val="28"/>
        </w:rPr>
        <w:t>Председатель Конкурсной комиссии                                             П.С. Силин</w:t>
      </w:r>
    </w:p>
    <w:sectPr w:rsidR="00815AD8"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CBF" w:rsidRDefault="00491CBF" w:rsidP="00491CBF">
      <w:r>
        <w:separator/>
      </w:r>
    </w:p>
  </w:endnote>
  <w:endnote w:type="continuationSeparator" w:id="0">
    <w:p w:rsidR="00491CBF" w:rsidRDefault="00491CBF" w:rsidP="0049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CBF" w:rsidRDefault="00491CBF" w:rsidP="00491CBF">
      <w:r>
        <w:separator/>
      </w:r>
    </w:p>
  </w:footnote>
  <w:footnote w:type="continuationSeparator" w:id="0">
    <w:p w:rsidR="00491CBF" w:rsidRDefault="00491CBF" w:rsidP="00491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7"/>
  </w:num>
  <w:num w:numId="4">
    <w:abstractNumId w:val="15"/>
  </w:num>
  <w:num w:numId="5">
    <w:abstractNumId w:val="20"/>
  </w:num>
  <w:num w:numId="6">
    <w:abstractNumId w:val="0"/>
  </w:num>
  <w:num w:numId="7">
    <w:abstractNumId w:val="4"/>
  </w:num>
  <w:num w:numId="8">
    <w:abstractNumId w:val="9"/>
  </w:num>
  <w:num w:numId="9">
    <w:abstractNumId w:val="13"/>
  </w:num>
  <w:num w:numId="10">
    <w:abstractNumId w:val="11"/>
  </w:num>
  <w:num w:numId="11">
    <w:abstractNumId w:val="18"/>
  </w:num>
  <w:num w:numId="12">
    <w:abstractNumId w:val="7"/>
  </w:num>
  <w:num w:numId="13">
    <w:abstractNumId w:val="10"/>
  </w:num>
  <w:num w:numId="14">
    <w:abstractNumId w:val="3"/>
  </w:num>
  <w:num w:numId="15">
    <w:abstractNumId w:val="14"/>
  </w:num>
  <w:num w:numId="16">
    <w:abstractNumId w:val="1"/>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0"/>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405A5"/>
    <w:rsid w:val="000428FE"/>
    <w:rsid w:val="0004690D"/>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1C96"/>
    <w:rsid w:val="0010502A"/>
    <w:rsid w:val="00105533"/>
    <w:rsid w:val="00106E28"/>
    <w:rsid w:val="00117A82"/>
    <w:rsid w:val="00122F18"/>
    <w:rsid w:val="00130513"/>
    <w:rsid w:val="0013304D"/>
    <w:rsid w:val="00141492"/>
    <w:rsid w:val="00142860"/>
    <w:rsid w:val="00147FF5"/>
    <w:rsid w:val="00156B5A"/>
    <w:rsid w:val="001573A1"/>
    <w:rsid w:val="00160A5C"/>
    <w:rsid w:val="00172200"/>
    <w:rsid w:val="00177B92"/>
    <w:rsid w:val="00185F13"/>
    <w:rsid w:val="001A2187"/>
    <w:rsid w:val="001B61A6"/>
    <w:rsid w:val="001C372C"/>
    <w:rsid w:val="001D38D2"/>
    <w:rsid w:val="001D5B0B"/>
    <w:rsid w:val="001F67A7"/>
    <w:rsid w:val="002019DD"/>
    <w:rsid w:val="00207AF5"/>
    <w:rsid w:val="00216D5A"/>
    <w:rsid w:val="00234AB7"/>
    <w:rsid w:val="00244D08"/>
    <w:rsid w:val="00250894"/>
    <w:rsid w:val="0027137E"/>
    <w:rsid w:val="00276BA0"/>
    <w:rsid w:val="0027773B"/>
    <w:rsid w:val="00277A8B"/>
    <w:rsid w:val="002A1929"/>
    <w:rsid w:val="002B27AA"/>
    <w:rsid w:val="002B3F9D"/>
    <w:rsid w:val="002C1F9E"/>
    <w:rsid w:val="002C5834"/>
    <w:rsid w:val="002D1B74"/>
    <w:rsid w:val="002D23B1"/>
    <w:rsid w:val="002F6311"/>
    <w:rsid w:val="00301B02"/>
    <w:rsid w:val="00310348"/>
    <w:rsid w:val="003164B2"/>
    <w:rsid w:val="00316F40"/>
    <w:rsid w:val="00325236"/>
    <w:rsid w:val="00326B6F"/>
    <w:rsid w:val="003313F0"/>
    <w:rsid w:val="00337BB3"/>
    <w:rsid w:val="00341593"/>
    <w:rsid w:val="003536C7"/>
    <w:rsid w:val="00360A06"/>
    <w:rsid w:val="00363509"/>
    <w:rsid w:val="00367C80"/>
    <w:rsid w:val="003A38E6"/>
    <w:rsid w:val="003A4B34"/>
    <w:rsid w:val="003A7B11"/>
    <w:rsid w:val="003A7CEA"/>
    <w:rsid w:val="003B354D"/>
    <w:rsid w:val="003B4D0E"/>
    <w:rsid w:val="003B6245"/>
    <w:rsid w:val="003D3CDA"/>
    <w:rsid w:val="003D4779"/>
    <w:rsid w:val="003D7403"/>
    <w:rsid w:val="003F67B0"/>
    <w:rsid w:val="00405CFB"/>
    <w:rsid w:val="004231F2"/>
    <w:rsid w:val="00423849"/>
    <w:rsid w:val="00437794"/>
    <w:rsid w:val="004440AA"/>
    <w:rsid w:val="00460FDB"/>
    <w:rsid w:val="00481F14"/>
    <w:rsid w:val="00486D74"/>
    <w:rsid w:val="00491CBF"/>
    <w:rsid w:val="0049346B"/>
    <w:rsid w:val="0049618E"/>
    <w:rsid w:val="00497A00"/>
    <w:rsid w:val="004C63DC"/>
    <w:rsid w:val="004F6F09"/>
    <w:rsid w:val="005214E1"/>
    <w:rsid w:val="00532B3B"/>
    <w:rsid w:val="00537C9B"/>
    <w:rsid w:val="005542A4"/>
    <w:rsid w:val="005621D4"/>
    <w:rsid w:val="00577768"/>
    <w:rsid w:val="00590D2D"/>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439EE"/>
    <w:rsid w:val="00651836"/>
    <w:rsid w:val="0065569C"/>
    <w:rsid w:val="006752E4"/>
    <w:rsid w:val="00680210"/>
    <w:rsid w:val="00685CA6"/>
    <w:rsid w:val="00697226"/>
    <w:rsid w:val="006A5086"/>
    <w:rsid w:val="006A5699"/>
    <w:rsid w:val="006C33CB"/>
    <w:rsid w:val="006C340D"/>
    <w:rsid w:val="006D2447"/>
    <w:rsid w:val="006D3B12"/>
    <w:rsid w:val="006E3A95"/>
    <w:rsid w:val="006E79BE"/>
    <w:rsid w:val="006F7501"/>
    <w:rsid w:val="007005F9"/>
    <w:rsid w:val="007119C5"/>
    <w:rsid w:val="0071273B"/>
    <w:rsid w:val="00712BFA"/>
    <w:rsid w:val="00717D60"/>
    <w:rsid w:val="00731720"/>
    <w:rsid w:val="007334C6"/>
    <w:rsid w:val="0073641C"/>
    <w:rsid w:val="007438FE"/>
    <w:rsid w:val="0074713A"/>
    <w:rsid w:val="007712C8"/>
    <w:rsid w:val="0077397C"/>
    <w:rsid w:val="00777BBF"/>
    <w:rsid w:val="007813D2"/>
    <w:rsid w:val="00784E5D"/>
    <w:rsid w:val="00796943"/>
    <w:rsid w:val="007B09C9"/>
    <w:rsid w:val="007B54BB"/>
    <w:rsid w:val="007B7775"/>
    <w:rsid w:val="007C7B84"/>
    <w:rsid w:val="007F427D"/>
    <w:rsid w:val="007F450C"/>
    <w:rsid w:val="008002FA"/>
    <w:rsid w:val="00803676"/>
    <w:rsid w:val="00815AD8"/>
    <w:rsid w:val="00832648"/>
    <w:rsid w:val="00844DE1"/>
    <w:rsid w:val="00845195"/>
    <w:rsid w:val="00845786"/>
    <w:rsid w:val="00851FE0"/>
    <w:rsid w:val="00852D6B"/>
    <w:rsid w:val="0085584E"/>
    <w:rsid w:val="008771BB"/>
    <w:rsid w:val="00886E49"/>
    <w:rsid w:val="008C3ADE"/>
    <w:rsid w:val="008C6D3F"/>
    <w:rsid w:val="008D1163"/>
    <w:rsid w:val="008E52FA"/>
    <w:rsid w:val="008F2A83"/>
    <w:rsid w:val="008F7AC9"/>
    <w:rsid w:val="00914620"/>
    <w:rsid w:val="00925C0F"/>
    <w:rsid w:val="00927018"/>
    <w:rsid w:val="009316CD"/>
    <w:rsid w:val="00931DEF"/>
    <w:rsid w:val="00936367"/>
    <w:rsid w:val="00942AAD"/>
    <w:rsid w:val="00947762"/>
    <w:rsid w:val="00955B9F"/>
    <w:rsid w:val="00962361"/>
    <w:rsid w:val="00985962"/>
    <w:rsid w:val="00985F28"/>
    <w:rsid w:val="009A1FBE"/>
    <w:rsid w:val="009B2AF9"/>
    <w:rsid w:val="009D6F5A"/>
    <w:rsid w:val="009F0F1D"/>
    <w:rsid w:val="009F1465"/>
    <w:rsid w:val="009F64FC"/>
    <w:rsid w:val="00A03F47"/>
    <w:rsid w:val="00A04FAC"/>
    <w:rsid w:val="00A2580C"/>
    <w:rsid w:val="00A32A17"/>
    <w:rsid w:val="00A337D3"/>
    <w:rsid w:val="00A33C61"/>
    <w:rsid w:val="00A43F31"/>
    <w:rsid w:val="00A602C9"/>
    <w:rsid w:val="00A61290"/>
    <w:rsid w:val="00A62007"/>
    <w:rsid w:val="00A63D43"/>
    <w:rsid w:val="00A715EB"/>
    <w:rsid w:val="00A727EA"/>
    <w:rsid w:val="00A8377E"/>
    <w:rsid w:val="00A9250C"/>
    <w:rsid w:val="00AA4373"/>
    <w:rsid w:val="00AA718F"/>
    <w:rsid w:val="00AB4C8A"/>
    <w:rsid w:val="00AB78BB"/>
    <w:rsid w:val="00AC357A"/>
    <w:rsid w:val="00AC46C1"/>
    <w:rsid w:val="00AD258E"/>
    <w:rsid w:val="00AE10A2"/>
    <w:rsid w:val="00AE1277"/>
    <w:rsid w:val="00AE3272"/>
    <w:rsid w:val="00AE5A9F"/>
    <w:rsid w:val="00AE7E8C"/>
    <w:rsid w:val="00AF1429"/>
    <w:rsid w:val="00AF4DCA"/>
    <w:rsid w:val="00B0496A"/>
    <w:rsid w:val="00B04C02"/>
    <w:rsid w:val="00B06E7C"/>
    <w:rsid w:val="00B07AC5"/>
    <w:rsid w:val="00B116B1"/>
    <w:rsid w:val="00B14296"/>
    <w:rsid w:val="00B24E4A"/>
    <w:rsid w:val="00B37B7D"/>
    <w:rsid w:val="00B50ED9"/>
    <w:rsid w:val="00B52C5E"/>
    <w:rsid w:val="00B54B83"/>
    <w:rsid w:val="00B83144"/>
    <w:rsid w:val="00B864CB"/>
    <w:rsid w:val="00BA1E7E"/>
    <w:rsid w:val="00BA29E9"/>
    <w:rsid w:val="00BB7973"/>
    <w:rsid w:val="00BC1322"/>
    <w:rsid w:val="00BD3D54"/>
    <w:rsid w:val="00BE2644"/>
    <w:rsid w:val="00BE5EB6"/>
    <w:rsid w:val="00C07025"/>
    <w:rsid w:val="00C16D26"/>
    <w:rsid w:val="00C248BE"/>
    <w:rsid w:val="00C26E7E"/>
    <w:rsid w:val="00C30D30"/>
    <w:rsid w:val="00C41AD9"/>
    <w:rsid w:val="00C47EEC"/>
    <w:rsid w:val="00C520BA"/>
    <w:rsid w:val="00C57F00"/>
    <w:rsid w:val="00C66E7B"/>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A0C7F"/>
    <w:rsid w:val="00DA164F"/>
    <w:rsid w:val="00DA44F0"/>
    <w:rsid w:val="00DB6B07"/>
    <w:rsid w:val="00DD0065"/>
    <w:rsid w:val="00DD043B"/>
    <w:rsid w:val="00DE4587"/>
    <w:rsid w:val="00DF355E"/>
    <w:rsid w:val="00DF4941"/>
    <w:rsid w:val="00DF5C67"/>
    <w:rsid w:val="00E120C2"/>
    <w:rsid w:val="00E22C36"/>
    <w:rsid w:val="00E312D1"/>
    <w:rsid w:val="00E34009"/>
    <w:rsid w:val="00E34FED"/>
    <w:rsid w:val="00E4694C"/>
    <w:rsid w:val="00E541BB"/>
    <w:rsid w:val="00E57769"/>
    <w:rsid w:val="00E833E4"/>
    <w:rsid w:val="00E87948"/>
    <w:rsid w:val="00E93CAC"/>
    <w:rsid w:val="00E93D55"/>
    <w:rsid w:val="00E97423"/>
    <w:rsid w:val="00EB203C"/>
    <w:rsid w:val="00EB34B1"/>
    <w:rsid w:val="00EC74CD"/>
    <w:rsid w:val="00ED1F12"/>
    <w:rsid w:val="00ED6409"/>
    <w:rsid w:val="00EF2885"/>
    <w:rsid w:val="00F005AA"/>
    <w:rsid w:val="00F03148"/>
    <w:rsid w:val="00F05258"/>
    <w:rsid w:val="00F15698"/>
    <w:rsid w:val="00F175EA"/>
    <w:rsid w:val="00F265C7"/>
    <w:rsid w:val="00F42B9A"/>
    <w:rsid w:val="00F54C2F"/>
    <w:rsid w:val="00F6374E"/>
    <w:rsid w:val="00F644BA"/>
    <w:rsid w:val="00F64D04"/>
    <w:rsid w:val="00F64FCD"/>
    <w:rsid w:val="00F764B9"/>
    <w:rsid w:val="00F817A1"/>
    <w:rsid w:val="00F848A7"/>
    <w:rsid w:val="00F86E8C"/>
    <w:rsid w:val="00F87ECD"/>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styleId="af3">
    <w:name w:val="footnote reference"/>
    <w:rsid w:val="00491CBF"/>
    <w:rPr>
      <w:vertAlign w:val="superscript"/>
    </w:rPr>
  </w:style>
  <w:style w:type="paragraph" w:styleId="af4">
    <w:name w:val="footnote text"/>
    <w:basedOn w:val="a"/>
    <w:link w:val="13"/>
    <w:rsid w:val="00491CBF"/>
    <w:pPr>
      <w:widowControl w:val="0"/>
      <w:suppressAutoHyphens/>
      <w:autoSpaceDE w:val="0"/>
    </w:pPr>
    <w:rPr>
      <w:sz w:val="20"/>
      <w:szCs w:val="20"/>
      <w:lang w:eastAsia="ar-SA"/>
    </w:rPr>
  </w:style>
  <w:style w:type="character" w:customStyle="1" w:styleId="af5">
    <w:name w:val="Текст сноски Знак"/>
    <w:basedOn w:val="a0"/>
    <w:link w:val="af4"/>
    <w:uiPriority w:val="99"/>
    <w:semiHidden/>
    <w:rsid w:val="00491CBF"/>
    <w:rPr>
      <w:rFonts w:ascii="Times New Roman" w:eastAsia="Times New Roman" w:hAnsi="Times New Roman" w:cs="Times New Roman"/>
      <w:sz w:val="20"/>
      <w:szCs w:val="20"/>
      <w:lang w:eastAsia="ru-RU"/>
    </w:rPr>
  </w:style>
  <w:style w:type="character" w:customStyle="1" w:styleId="13">
    <w:name w:val="Текст сноски Знак1"/>
    <w:basedOn w:val="a0"/>
    <w:link w:val="af4"/>
    <w:locked/>
    <w:rsid w:val="00491CBF"/>
    <w:rPr>
      <w:rFonts w:ascii="Times New Roman" w:eastAsia="Times New Roman" w:hAnsi="Times New Roman" w:cs="Times New Roman"/>
      <w:sz w:val="20"/>
      <w:szCs w:val="20"/>
      <w:lang w:eastAsia="ar-SA"/>
    </w:rPr>
  </w:style>
  <w:style w:type="character" w:customStyle="1" w:styleId="WW8Num5z1">
    <w:name w:val="WW8Num5z1"/>
    <w:rsid w:val="00405CFB"/>
    <w:rPr>
      <w:rFonts w:cs="Times New Roman"/>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83F95-92E6-4782-BA52-62361985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160</cp:revision>
  <cp:lastPrinted>2020-10-02T06:05:00Z</cp:lastPrinted>
  <dcterms:created xsi:type="dcterms:W3CDTF">2016-08-02T04:13:00Z</dcterms:created>
  <dcterms:modified xsi:type="dcterms:W3CDTF">2020-10-30T11:08:00Z</dcterms:modified>
</cp:coreProperties>
</file>