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E11538" w:rsidP="001F0C65">
            <w:r>
              <w:rPr>
                <w:noProof/>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979170</wp:posOffset>
                      </wp:positionV>
                      <wp:extent cx="2780030" cy="120015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5C2E11" w:rsidRDefault="00BF76AC" w:rsidP="00BF76AC">
                                  <w:pPr>
                                    <w:ind w:left="70"/>
                                    <w:rPr>
                                      <w:rFonts w:ascii="Arial" w:hAnsi="Arial" w:cs="Arial"/>
                                      <w:sz w:val="18"/>
                                      <w:szCs w:val="18"/>
                                      <w:lang w:val="en-US"/>
                                    </w:rPr>
                                  </w:pPr>
                                  <w:r w:rsidRPr="00E108F7">
                                    <w:rPr>
                                      <w:rFonts w:ascii="Arial" w:hAnsi="Arial" w:cs="Arial"/>
                                      <w:sz w:val="18"/>
                                      <w:szCs w:val="18"/>
                                    </w:rPr>
                                    <w:t>тел</w:t>
                                  </w:r>
                                  <w:r w:rsidRPr="005C2E11">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DB1EAC">
                                    <w:rPr>
                                      <w:rFonts w:ascii="Arial" w:hAnsi="Arial" w:cs="Arial"/>
                                      <w:sz w:val="18"/>
                                      <w:szCs w:val="18"/>
                                      <w:lang w:val="en-US"/>
                                    </w:rPr>
                                    <w:t xml:space="preserve"> </w:t>
                                  </w:r>
                                  <w:r w:rsidR="001F0C65" w:rsidRPr="00B06EA8">
                                    <w:rPr>
                                      <w:rFonts w:ascii="Arial" w:hAnsi="Arial" w:cs="Arial"/>
                                      <w:sz w:val="18"/>
                                      <w:szCs w:val="18"/>
                                    </w:rPr>
                                    <w:t>_____________ №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3pt;margin-top:77.1pt;width:218.9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yhuAIAALs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5C2E11" w:rsidRDefault="00BF76AC" w:rsidP="00BF76AC">
                            <w:pPr>
                              <w:ind w:left="70"/>
                              <w:rPr>
                                <w:rFonts w:ascii="Arial" w:hAnsi="Arial" w:cs="Arial"/>
                                <w:sz w:val="18"/>
                                <w:szCs w:val="18"/>
                                <w:lang w:val="en-US"/>
                              </w:rPr>
                            </w:pPr>
                            <w:r w:rsidRPr="00E108F7">
                              <w:rPr>
                                <w:rFonts w:ascii="Arial" w:hAnsi="Arial" w:cs="Arial"/>
                                <w:sz w:val="18"/>
                                <w:szCs w:val="18"/>
                              </w:rPr>
                              <w:t>тел</w:t>
                            </w:r>
                            <w:r w:rsidRPr="005C2E11">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9"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DB1EAC">
                              <w:rPr>
                                <w:rFonts w:ascii="Arial" w:hAnsi="Arial" w:cs="Arial"/>
                                <w:sz w:val="18"/>
                                <w:szCs w:val="18"/>
                                <w:lang w:val="en-US"/>
                              </w:rPr>
                              <w:t xml:space="preserve"> </w:t>
                            </w:r>
                            <w:r w:rsidR="001F0C65" w:rsidRPr="00B06EA8">
                              <w:rPr>
                                <w:rFonts w:ascii="Arial" w:hAnsi="Arial" w:cs="Arial"/>
                                <w:sz w:val="18"/>
                                <w:szCs w:val="18"/>
                              </w:rPr>
                              <w:t>_____________ № ________________</w:t>
                            </w:r>
                          </w:p>
                        </w:txbxContent>
                      </v:textbox>
                    </v:shape>
                  </w:pict>
                </mc:Fallback>
              </mc:AlternateConten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E021AA" w:rsidRDefault="00E021AA" w:rsidP="00315FF4">
      <w:pPr>
        <w:rPr>
          <w:b/>
          <w:color w:val="FF0000"/>
          <w:sz w:val="28"/>
          <w:szCs w:val="28"/>
        </w:rPr>
      </w:pPr>
    </w:p>
    <w:p w:rsidR="007813D2" w:rsidRPr="008E1558" w:rsidRDefault="007813D2" w:rsidP="00C52BBE">
      <w:pPr>
        <w:jc w:val="center"/>
        <w:rPr>
          <w:b/>
          <w:color w:val="FF0000"/>
          <w:sz w:val="28"/>
          <w:szCs w:val="28"/>
        </w:rPr>
      </w:pPr>
      <w:r w:rsidRPr="008E1558">
        <w:rPr>
          <w:b/>
          <w:color w:val="FF0000"/>
          <w:sz w:val="28"/>
          <w:szCs w:val="28"/>
        </w:rPr>
        <w:t>ВНИМАНИЕ!</w:t>
      </w:r>
    </w:p>
    <w:p w:rsidR="00315FF4" w:rsidRPr="00DB1EAC" w:rsidRDefault="0007380A" w:rsidP="00DB1EAC">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на Красноярской железной дороге</w:t>
      </w:r>
      <w:r w:rsidR="00DB1EAC">
        <w:rPr>
          <w:b/>
          <w:bCs/>
          <w:szCs w:val="28"/>
        </w:rPr>
        <w:t xml:space="preserve"> </w:t>
      </w:r>
      <w:r w:rsidR="000D3D2A" w:rsidRPr="008E1558">
        <w:rPr>
          <w:b/>
          <w:bCs/>
          <w:szCs w:val="28"/>
        </w:rPr>
        <w:t>информирует</w:t>
      </w:r>
      <w:r w:rsidR="00E823B7" w:rsidRPr="008E1558">
        <w:rPr>
          <w:b/>
          <w:bCs/>
          <w:szCs w:val="28"/>
        </w:rPr>
        <w:t xml:space="preserve"> </w:t>
      </w:r>
      <w:r w:rsidR="000D3D2A"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документацию</w:t>
      </w:r>
      <w:r w:rsidR="00315FF4">
        <w:rPr>
          <w:b/>
          <w:bCs/>
          <w:szCs w:val="28"/>
        </w:rPr>
        <w:t xml:space="preserve"> </w:t>
      </w:r>
      <w:r w:rsidR="00E021AA">
        <w:rPr>
          <w:b/>
          <w:bCs/>
          <w:szCs w:val="28"/>
        </w:rPr>
        <w:t>закупки</w:t>
      </w:r>
      <w:r w:rsidR="00E021AA" w:rsidRPr="00E021AA">
        <w:rPr>
          <w:b/>
          <w:bCs/>
          <w:szCs w:val="28"/>
        </w:rPr>
        <w:t xml:space="preserve"> открыт</w:t>
      </w:r>
      <w:r w:rsidR="00E021AA">
        <w:rPr>
          <w:b/>
          <w:bCs/>
          <w:szCs w:val="28"/>
        </w:rPr>
        <w:t>ого</w:t>
      </w:r>
      <w:r w:rsidR="00E021AA" w:rsidRPr="00E021AA">
        <w:rPr>
          <w:b/>
          <w:bCs/>
          <w:szCs w:val="28"/>
        </w:rPr>
        <w:t xml:space="preserve"> конкурс</w:t>
      </w:r>
      <w:r w:rsidR="00E021AA">
        <w:rPr>
          <w:b/>
          <w:bCs/>
          <w:szCs w:val="28"/>
        </w:rPr>
        <w:t>а</w:t>
      </w:r>
      <w:r w:rsidR="00E021AA" w:rsidRPr="00E021AA">
        <w:rPr>
          <w:b/>
          <w:bCs/>
          <w:szCs w:val="28"/>
        </w:rPr>
        <w:t xml:space="preserve"> в электронной форме </w:t>
      </w:r>
      <w:r w:rsidR="00DB1EAC" w:rsidRPr="00DB1EAC">
        <w:rPr>
          <w:rFonts w:eastAsia="Arial"/>
          <w:b/>
          <w:lang w:eastAsia="ar-SA"/>
        </w:rPr>
        <w:t>№ ОКэ-НКПКРАСН-21-0003 по предмету закупки «Строительно-монтажные работы по реконструкции Контейнерной площадки 13 путь инв. №012/02/00000090, кадастр. №24:50:0500254:212 контейнерного терминала Базаиха филиала ПАО "ТрансКонтейнер" на Красноярской железной дороге» (далее – Открытый конкурс).</w:t>
      </w:r>
    </w:p>
    <w:p w:rsidR="00315FF4" w:rsidRPr="00315FF4" w:rsidRDefault="00315FF4" w:rsidP="00315FF4">
      <w:pPr>
        <w:pStyle w:val="11"/>
        <w:suppressAutoHyphens/>
        <w:ind w:firstLine="0"/>
        <w:jc w:val="center"/>
        <w:rPr>
          <w:b/>
          <w:bCs/>
          <w:szCs w:val="28"/>
        </w:rPr>
      </w:pPr>
    </w:p>
    <w:p w:rsidR="00DC628A" w:rsidRDefault="00184144" w:rsidP="00315FF4">
      <w:pPr>
        <w:pStyle w:val="11"/>
        <w:suppressAutoHyphens/>
        <w:ind w:firstLine="0"/>
        <w:rPr>
          <w:b/>
          <w:bCs/>
          <w:szCs w:val="28"/>
        </w:rPr>
      </w:pPr>
      <w:r>
        <w:rPr>
          <w:b/>
          <w:szCs w:val="28"/>
        </w:rPr>
        <w:tab/>
      </w:r>
      <w:r w:rsidR="00DC628A" w:rsidRPr="00E23FB4">
        <w:rPr>
          <w:b/>
          <w:szCs w:val="28"/>
        </w:rPr>
        <w:t xml:space="preserve">В документации </w:t>
      </w:r>
      <w:r w:rsidR="00244441" w:rsidRPr="00E23FB4">
        <w:rPr>
          <w:b/>
          <w:szCs w:val="28"/>
        </w:rPr>
        <w:t xml:space="preserve">о проведении </w:t>
      </w:r>
      <w:r w:rsidR="005D7AD1" w:rsidRPr="00E23FB4">
        <w:rPr>
          <w:b/>
          <w:bCs/>
          <w:szCs w:val="28"/>
        </w:rPr>
        <w:t xml:space="preserve">процедуры </w:t>
      </w:r>
      <w:r w:rsidR="00E021AA" w:rsidRPr="00E021AA">
        <w:rPr>
          <w:b/>
          <w:bCs/>
          <w:szCs w:val="28"/>
        </w:rPr>
        <w:t>открытого конкурса в электронной форме</w:t>
      </w:r>
      <w:r w:rsidR="00E021AA">
        <w:rPr>
          <w:b/>
          <w:bCs/>
          <w:szCs w:val="28"/>
        </w:rPr>
        <w:t xml:space="preserve"> </w:t>
      </w:r>
      <w:r w:rsidR="00315FF4">
        <w:rPr>
          <w:b/>
          <w:bCs/>
          <w:szCs w:val="28"/>
        </w:rPr>
        <w:t>изложить в следующей форме:</w:t>
      </w:r>
    </w:p>
    <w:p w:rsidR="00315FF4" w:rsidRPr="00E23FB4" w:rsidRDefault="00315FF4" w:rsidP="00184144">
      <w:pPr>
        <w:tabs>
          <w:tab w:val="left" w:pos="1134"/>
        </w:tabs>
        <w:jc w:val="both"/>
        <w:rPr>
          <w:b/>
          <w:sz w:val="28"/>
          <w:szCs w:val="28"/>
        </w:rPr>
      </w:pPr>
    </w:p>
    <w:p w:rsidR="00DB1EAC" w:rsidRPr="00DB1EAC" w:rsidRDefault="00DB1EAC" w:rsidP="00DB1EAC">
      <w:pPr>
        <w:suppressAutoHyphens/>
        <w:ind w:firstLine="709"/>
        <w:jc w:val="both"/>
        <w:rPr>
          <w:rFonts w:eastAsia="Calibri"/>
          <w:sz w:val="28"/>
          <w:szCs w:val="28"/>
          <w:lang w:eastAsia="ar-SA"/>
        </w:rPr>
      </w:pPr>
      <w:r w:rsidRPr="00DB1EAC">
        <w:rPr>
          <w:rFonts w:eastAsia="MS Mincho"/>
          <w:b/>
          <w:sz w:val="28"/>
          <w:szCs w:val="28"/>
          <w:lang w:eastAsia="ar-SA"/>
        </w:rPr>
        <w:t>4.5.</w:t>
      </w:r>
      <w:r w:rsidRPr="00DB1EAC">
        <w:rPr>
          <w:rFonts w:eastAsia="Calibri"/>
          <w:b/>
          <w:sz w:val="28"/>
          <w:szCs w:val="28"/>
          <w:lang w:eastAsia="ar-SA"/>
        </w:rPr>
        <w:t xml:space="preserve"> Порядок оплаты.</w:t>
      </w:r>
    </w:p>
    <w:p w:rsidR="00DB1EAC" w:rsidRPr="00DB1EAC" w:rsidRDefault="00DB1EAC" w:rsidP="00DB1EAC">
      <w:pPr>
        <w:ind w:firstLine="709"/>
        <w:jc w:val="both"/>
        <w:rPr>
          <w:rFonts w:eastAsia="Calibri"/>
          <w:sz w:val="28"/>
          <w:szCs w:val="28"/>
          <w:lang w:eastAsia="ar-SA"/>
        </w:rPr>
      </w:pPr>
      <w:r w:rsidRPr="00DB1EAC">
        <w:rPr>
          <w:rFonts w:eastAsia="Calibri"/>
          <w:sz w:val="28"/>
          <w:szCs w:val="28"/>
          <w:lang w:eastAsia="ar-SA"/>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DB1EAC" w:rsidRPr="00DB1EAC" w:rsidRDefault="00DB1EAC" w:rsidP="00DB1EAC">
      <w:pPr>
        <w:ind w:firstLine="709"/>
        <w:jc w:val="both"/>
        <w:rPr>
          <w:rFonts w:eastAsia="Calibri"/>
          <w:sz w:val="28"/>
          <w:szCs w:val="28"/>
          <w:lang w:eastAsia="ar-SA"/>
        </w:rPr>
      </w:pPr>
      <w:r w:rsidRPr="00DB1EAC">
        <w:rPr>
          <w:rFonts w:eastAsia="Calibri"/>
          <w:sz w:val="28"/>
          <w:szCs w:val="28"/>
          <w:lang w:eastAsia="ar-SA"/>
        </w:rPr>
        <w:t>4.5.2. Может быть предусмотрен авансовый платеж, который не должен превышать 25 % (двадцать пять) процентов от цены договора.</w:t>
      </w:r>
    </w:p>
    <w:p w:rsidR="00DB1EAC" w:rsidRPr="00DB1EAC" w:rsidRDefault="00DB1EAC" w:rsidP="00DB1EAC">
      <w:pPr>
        <w:ind w:firstLine="709"/>
        <w:jc w:val="both"/>
        <w:rPr>
          <w:rFonts w:eastAsia="Calibri"/>
          <w:sz w:val="28"/>
          <w:szCs w:val="28"/>
          <w:lang w:eastAsia="ar-SA"/>
        </w:rPr>
      </w:pPr>
      <w:r w:rsidRPr="00DB1EAC">
        <w:rPr>
          <w:rFonts w:eastAsia="Calibri"/>
          <w:sz w:val="28"/>
          <w:szCs w:val="28"/>
          <w:lang w:eastAsia="ar-SA"/>
        </w:rPr>
        <w:t>В случае авансового платежа оплата производится Заказчиком в следующем порядке:</w:t>
      </w:r>
    </w:p>
    <w:p w:rsidR="00DB1EAC" w:rsidRPr="00DB1EAC" w:rsidRDefault="00DB1EAC" w:rsidP="00DB1EAC">
      <w:pPr>
        <w:ind w:firstLine="709"/>
        <w:jc w:val="both"/>
        <w:rPr>
          <w:rFonts w:eastAsia="Calibri"/>
          <w:sz w:val="28"/>
          <w:szCs w:val="28"/>
          <w:lang w:eastAsia="ar-SA"/>
        </w:rPr>
      </w:pPr>
      <w:r w:rsidRPr="00DB1EAC">
        <w:rPr>
          <w:rFonts w:eastAsia="Calibri"/>
          <w:sz w:val="28"/>
          <w:szCs w:val="28"/>
          <w:lang w:eastAsia="ar-SA"/>
        </w:rPr>
        <w:t>- аванс в размере не более 25 % (двадцать пять) процентов от общей цены договора</w:t>
      </w:r>
      <w:r w:rsidRPr="00DB1EAC" w:rsidDel="009D619B">
        <w:rPr>
          <w:rFonts w:eastAsia="Calibri"/>
          <w:sz w:val="28"/>
          <w:szCs w:val="28"/>
          <w:lang w:eastAsia="ar-SA"/>
        </w:rPr>
        <w:t xml:space="preserve"> </w:t>
      </w:r>
      <w:r w:rsidRPr="00DB1EAC">
        <w:rPr>
          <w:rFonts w:eastAsia="Calibri"/>
          <w:sz w:val="28"/>
          <w:szCs w:val="28"/>
          <w:lang w:eastAsia="ar-SA"/>
        </w:rPr>
        <w:t>– производится в течение 30 (Тридцати) календарных дней с даты подписания договора</w:t>
      </w:r>
      <w:r w:rsidRPr="00DB1EAC">
        <w:rPr>
          <w:rFonts w:eastAsia="Arial"/>
          <w:sz w:val="28"/>
          <w:szCs w:val="28"/>
          <w:lang w:eastAsia="ar-SA"/>
        </w:rPr>
        <w:t xml:space="preserve"> на основании счета, выставленного Поставщиком</w:t>
      </w:r>
      <w:r w:rsidRPr="00DB1EAC">
        <w:rPr>
          <w:rFonts w:eastAsia="Calibri"/>
          <w:sz w:val="28"/>
          <w:szCs w:val="28"/>
          <w:lang w:eastAsia="ar-SA"/>
        </w:rPr>
        <w:t>;</w:t>
      </w:r>
    </w:p>
    <w:p w:rsidR="00DB1EAC" w:rsidRPr="00DB1EAC" w:rsidRDefault="00DB1EAC" w:rsidP="00DB1EAC">
      <w:pPr>
        <w:ind w:firstLine="709"/>
        <w:jc w:val="both"/>
        <w:rPr>
          <w:rFonts w:eastAsia="Calibri"/>
          <w:sz w:val="28"/>
          <w:szCs w:val="28"/>
          <w:lang w:eastAsia="ar-SA"/>
        </w:rPr>
      </w:pPr>
      <w:r w:rsidRPr="00DB1EAC">
        <w:rPr>
          <w:rFonts w:eastAsia="Calibri"/>
          <w:sz w:val="28"/>
          <w:szCs w:val="28"/>
          <w:lang w:eastAsia="ar-SA"/>
        </w:rPr>
        <w:t xml:space="preserve">-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w:t>
      </w:r>
      <w:r w:rsidRPr="00DB1EAC">
        <w:rPr>
          <w:rFonts w:eastAsia="Calibri"/>
          <w:sz w:val="28"/>
          <w:szCs w:val="28"/>
          <w:lang w:eastAsia="ar-SA"/>
        </w:rPr>
        <w:lastRenderedPageBreak/>
        <w:t>основных средств формы ОС-3</w:t>
      </w:r>
      <w:r w:rsidRPr="00DB1EAC">
        <w:rPr>
          <w:rFonts w:eastAsia="Arial"/>
          <w:sz w:val="28"/>
          <w:szCs w:val="28"/>
          <w:lang w:eastAsia="ar-SA"/>
        </w:rPr>
        <w:t xml:space="preserve"> на основании счета, выставленного Поставщиком</w:t>
      </w:r>
      <w:r w:rsidRPr="00DB1EAC">
        <w:rPr>
          <w:rFonts w:eastAsia="Calibri"/>
          <w:sz w:val="28"/>
          <w:szCs w:val="28"/>
          <w:lang w:eastAsia="ar-SA"/>
        </w:rPr>
        <w:t>.</w:t>
      </w:r>
    </w:p>
    <w:p w:rsidR="00DB1EAC" w:rsidRPr="00DB1EAC" w:rsidRDefault="00DB1EAC" w:rsidP="00DB1EAC">
      <w:pPr>
        <w:shd w:val="clear" w:color="auto" w:fill="FFFFFF"/>
        <w:suppressAutoHyphens/>
        <w:ind w:firstLine="709"/>
        <w:jc w:val="both"/>
        <w:rPr>
          <w:color w:val="222222"/>
          <w:sz w:val="28"/>
          <w:szCs w:val="28"/>
        </w:rPr>
      </w:pPr>
      <w:r w:rsidRPr="00DB1EAC">
        <w:rPr>
          <w:rFonts w:eastAsia="Calibri"/>
          <w:sz w:val="28"/>
          <w:szCs w:val="28"/>
          <w:lang w:eastAsia="ar-SA"/>
        </w:rPr>
        <w:t>4.5.3.</w:t>
      </w:r>
      <w:r w:rsidRPr="00DB1EAC">
        <w:rPr>
          <w:rFonts w:eastAsia="Calibri"/>
          <w:szCs w:val="28"/>
          <w:lang w:eastAsia="ar-SA"/>
        </w:rPr>
        <w:t xml:space="preserve"> </w:t>
      </w:r>
      <w:r w:rsidRPr="00DB1EAC">
        <w:rPr>
          <w:color w:val="222222"/>
          <w:sz w:val="28"/>
          <w:szCs w:val="28"/>
        </w:rPr>
        <w:t>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DB1EAC" w:rsidRPr="00DB1EAC" w:rsidRDefault="00DB1EAC" w:rsidP="00DB1EAC">
      <w:pPr>
        <w:shd w:val="clear" w:color="auto" w:fill="FFFFFF"/>
        <w:suppressAutoHyphens/>
        <w:ind w:firstLine="709"/>
        <w:jc w:val="both"/>
        <w:rPr>
          <w:rFonts w:ascii="Calibri" w:hAnsi="Calibri" w:cs="Calibri"/>
          <w:color w:val="222222"/>
          <w:sz w:val="22"/>
          <w:szCs w:val="22"/>
        </w:rPr>
      </w:pPr>
      <w:r w:rsidRPr="00DB1EAC">
        <w:rPr>
          <w:color w:val="222222"/>
          <w:sz w:val="28"/>
          <w:szCs w:val="28"/>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sidRPr="00DB1EAC">
        <w:rPr>
          <w:i/>
          <w:iCs/>
          <w:color w:val="222222"/>
          <w:sz w:val="28"/>
          <w:szCs w:val="28"/>
        </w:rPr>
        <w:t> </w:t>
      </w:r>
    </w:p>
    <w:p w:rsidR="00E64FE3" w:rsidRDefault="00E64FE3" w:rsidP="00E823B7">
      <w:pPr>
        <w:jc w:val="both"/>
        <w:rPr>
          <w:sz w:val="28"/>
          <w:szCs w:val="28"/>
        </w:rPr>
      </w:pPr>
    </w:p>
    <w:p w:rsidR="00315FF4" w:rsidRDefault="00315FF4" w:rsidP="00E823B7">
      <w:pPr>
        <w:jc w:val="both"/>
        <w:rPr>
          <w:sz w:val="28"/>
          <w:szCs w:val="28"/>
        </w:rPr>
      </w:pPr>
    </w:p>
    <w:p w:rsidR="00DE09B7" w:rsidRDefault="00DE09B7" w:rsidP="00E823B7">
      <w:pPr>
        <w:jc w:val="both"/>
        <w:rPr>
          <w:sz w:val="28"/>
          <w:szCs w:val="28"/>
        </w:rPr>
      </w:pPr>
    </w:p>
    <w:p w:rsidR="00DE09B7" w:rsidRDefault="00DE09B7" w:rsidP="00E823B7">
      <w:pPr>
        <w:jc w:val="both"/>
        <w:rPr>
          <w:sz w:val="28"/>
          <w:szCs w:val="28"/>
        </w:rPr>
      </w:pPr>
    </w:p>
    <w:p w:rsidR="00DE09B7" w:rsidRDefault="00DE09B7" w:rsidP="00E823B7">
      <w:pPr>
        <w:jc w:val="both"/>
        <w:rPr>
          <w:sz w:val="28"/>
          <w:szCs w:val="28"/>
        </w:rPr>
      </w:pPr>
    </w:p>
    <w:p w:rsidR="00DE09B7" w:rsidRDefault="00DE09B7" w:rsidP="00E823B7">
      <w:pPr>
        <w:jc w:val="both"/>
        <w:rPr>
          <w:sz w:val="28"/>
          <w:szCs w:val="28"/>
        </w:rPr>
      </w:pPr>
    </w:p>
    <w:p w:rsidR="00DE09B7" w:rsidRDefault="00DE09B7" w:rsidP="00E823B7">
      <w:pPr>
        <w:jc w:val="both"/>
        <w:rPr>
          <w:sz w:val="28"/>
          <w:szCs w:val="28"/>
        </w:rPr>
      </w:pPr>
    </w:p>
    <w:p w:rsidR="00DE09B7" w:rsidRDefault="00DE09B7" w:rsidP="00E823B7">
      <w:pPr>
        <w:jc w:val="both"/>
        <w:rPr>
          <w:sz w:val="28"/>
          <w:szCs w:val="28"/>
        </w:rPr>
      </w:pPr>
      <w:bookmarkStart w:id="0" w:name="_GoBack"/>
      <w:bookmarkEnd w:id="0"/>
    </w:p>
    <w:p w:rsidR="00E021AA" w:rsidRDefault="00E021AA" w:rsidP="00E823B7">
      <w:pPr>
        <w:jc w:val="both"/>
        <w:rPr>
          <w:sz w:val="28"/>
          <w:szCs w:val="28"/>
        </w:rPr>
      </w:pPr>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DB1EAC">
      <w:pgSz w:w="11906" w:h="16838"/>
      <w:pgMar w:top="993"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82" w:rsidRDefault="00D85E82" w:rsidP="001F0C65">
      <w:r>
        <w:separator/>
      </w:r>
    </w:p>
  </w:endnote>
  <w:endnote w:type="continuationSeparator" w:id="0">
    <w:p w:rsidR="00D85E82" w:rsidRDefault="00D85E82"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82" w:rsidRDefault="00D85E82" w:rsidP="001F0C65">
      <w:r>
        <w:separator/>
      </w:r>
    </w:p>
  </w:footnote>
  <w:footnote w:type="continuationSeparator" w:id="0">
    <w:p w:rsidR="00D85E82" w:rsidRDefault="00D85E82"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4B75"/>
    <w:rsid w:val="002D66A1"/>
    <w:rsid w:val="002F0629"/>
    <w:rsid w:val="002F63D8"/>
    <w:rsid w:val="00302231"/>
    <w:rsid w:val="00310CAB"/>
    <w:rsid w:val="00315FF4"/>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D29D9"/>
    <w:rsid w:val="00AE10A2"/>
    <w:rsid w:val="00AE1C52"/>
    <w:rsid w:val="00AF1429"/>
    <w:rsid w:val="00AF5D94"/>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85E82"/>
    <w:rsid w:val="00D9330C"/>
    <w:rsid w:val="00D951DC"/>
    <w:rsid w:val="00DA164F"/>
    <w:rsid w:val="00DA44F0"/>
    <w:rsid w:val="00DB1EAC"/>
    <w:rsid w:val="00DB5B41"/>
    <w:rsid w:val="00DB5B5D"/>
    <w:rsid w:val="00DC628A"/>
    <w:rsid w:val="00DD043B"/>
    <w:rsid w:val="00DE09B7"/>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044"/>
  <w15:docId w15:val="{A4F52360-9697-4C1E-A83B-7759C27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718C4-9670-4950-88DF-35BE0ACB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7</cp:revision>
  <cp:lastPrinted>2021-02-25T08:59:00Z</cp:lastPrinted>
  <dcterms:created xsi:type="dcterms:W3CDTF">2021-02-25T09:00:00Z</dcterms:created>
  <dcterms:modified xsi:type="dcterms:W3CDTF">2021-03-17T13:47:00Z</dcterms:modified>
</cp:coreProperties>
</file>