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17" w:rsidRDefault="00796117"/>
    <w:p w:rsidR="00796117" w:rsidRDefault="00796117"/>
    <w:p w:rsidR="00796117" w:rsidRDefault="00796117"/>
    <w:p w:rsidR="00796117" w:rsidRDefault="00796117"/>
    <w:p w:rsidR="00796117" w:rsidRDefault="00796117"/>
    <w:p w:rsidR="00796117" w:rsidRDefault="00796117"/>
    <w:p w:rsidR="00796117" w:rsidRDefault="00796117"/>
    <w:p w:rsidR="00796117" w:rsidRDefault="00796117"/>
    <w:p w:rsidR="00F61612" w:rsidRDefault="00635A5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margin-left:-5.65pt;margin-top:10.8pt;width:210.55pt;height:4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C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" stroked="f">
            <v:textbox>
              <w:txbxContent>
                <w:p w:rsidR="002115BC" w:rsidRPr="00FE6F63" w:rsidRDefault="002115BC" w:rsidP="002115BC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        </w:t>
                  </w:r>
                  <w:r w:rsidRPr="005826F4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2115BC" w:rsidRPr="00FE6F63" w:rsidRDefault="002115BC" w:rsidP="002115BC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</w:p>
                <w:p w:rsidR="002115BC" w:rsidRPr="00A05799" w:rsidRDefault="002115BC" w:rsidP="002115BC">
                  <w:pPr>
                    <w:tabs>
                      <w:tab w:val="right" w:pos="396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2115BC" w:rsidRDefault="002115BC" w:rsidP="002115BC"/>
              </w:txbxContent>
            </v:textbox>
          </v:shape>
        </w:pict>
      </w:r>
    </w:p>
    <w:p w:rsidR="00FC4998" w:rsidRPr="00F61612" w:rsidRDefault="00FC4998"/>
    <w:p w:rsidR="00FC4998" w:rsidRDefault="00C62C46">
      <w:r>
        <w:t xml:space="preserve"> </w:t>
      </w:r>
      <w:bookmarkStart w:id="0" w:name="_GoBack"/>
      <w:bookmarkEnd w:id="0"/>
    </w:p>
    <w:p w:rsidR="00234C19" w:rsidRDefault="00234C19"/>
    <w:p w:rsidR="00234C19" w:rsidRPr="00234C19" w:rsidRDefault="00234C19" w:rsidP="00234C19">
      <w:pPr>
        <w:ind w:left="3969"/>
        <w:rPr>
          <w:rFonts w:ascii="Times New Roman" w:hAnsi="Times New Roman" w:cs="Times New Roman"/>
          <w:b/>
          <w:color w:val="FF0000"/>
          <w:spacing w:val="40"/>
          <w:sz w:val="28"/>
          <w:szCs w:val="28"/>
        </w:rPr>
      </w:pPr>
      <w:r w:rsidRPr="00234C19">
        <w:rPr>
          <w:rFonts w:ascii="Times New Roman" w:hAnsi="Times New Roman" w:cs="Times New Roman"/>
          <w:b/>
          <w:color w:val="FF0000"/>
          <w:spacing w:val="40"/>
          <w:sz w:val="28"/>
          <w:szCs w:val="28"/>
        </w:rPr>
        <w:t>ВНИМАНИЕ!</w:t>
      </w:r>
    </w:p>
    <w:p w:rsidR="00234C19" w:rsidRPr="00234C19" w:rsidRDefault="00234C19" w:rsidP="00234C19">
      <w:pPr>
        <w:ind w:left="3969"/>
        <w:rPr>
          <w:rFonts w:ascii="Times New Roman" w:hAnsi="Times New Roman" w:cs="Times New Roman"/>
          <w:b/>
          <w:color w:val="FF0000"/>
          <w:spacing w:val="40"/>
          <w:sz w:val="28"/>
          <w:szCs w:val="28"/>
        </w:rPr>
      </w:pPr>
    </w:p>
    <w:p w:rsidR="007F7F35" w:rsidRDefault="00234C19" w:rsidP="00234C19">
      <w:pPr>
        <w:pStyle w:val="1"/>
        <w:spacing w:line="276" w:lineRule="auto"/>
        <w:ind w:firstLine="0"/>
        <w:jc w:val="center"/>
        <w:rPr>
          <w:b/>
          <w:szCs w:val="28"/>
        </w:rPr>
      </w:pPr>
      <w:r w:rsidRPr="00234C19">
        <w:rPr>
          <w:b/>
          <w:bCs/>
          <w:szCs w:val="28"/>
        </w:rPr>
        <w:t>ПАО «</w:t>
      </w:r>
      <w:proofErr w:type="spellStart"/>
      <w:r w:rsidRPr="00234C19">
        <w:rPr>
          <w:b/>
          <w:bCs/>
          <w:szCs w:val="28"/>
        </w:rPr>
        <w:t>ТрансКонтейнер</w:t>
      </w:r>
      <w:proofErr w:type="spellEnd"/>
      <w:r w:rsidRPr="00234C19">
        <w:rPr>
          <w:b/>
          <w:bCs/>
          <w:szCs w:val="28"/>
        </w:rPr>
        <w:t xml:space="preserve">» информирует о внесении изменений в документацию о </w:t>
      </w:r>
      <w:r w:rsidRPr="00234C19">
        <w:rPr>
          <w:b/>
          <w:szCs w:val="28"/>
        </w:rPr>
        <w:t>закупке открытого конкурса в электронной форме</w:t>
      </w:r>
      <w:r w:rsidRPr="00234C19">
        <w:rPr>
          <w:b/>
          <w:bCs/>
          <w:szCs w:val="28"/>
        </w:rPr>
        <w:t xml:space="preserve"> № ОКэ-НКПСЕВ-21-0005 по предмету закупки «</w:t>
      </w:r>
      <w:r w:rsidRPr="00234C19">
        <w:rPr>
          <w:b/>
          <w:szCs w:val="28"/>
        </w:rPr>
        <w:t>Строительство кабельных линий КЛ-0,4 кВ от Т</w:t>
      </w:r>
      <w:proofErr w:type="gramStart"/>
      <w:r w:rsidRPr="00234C19">
        <w:rPr>
          <w:b/>
          <w:szCs w:val="28"/>
        </w:rPr>
        <w:t>П-</w:t>
      </w:r>
      <w:proofErr w:type="gramEnd"/>
      <w:r w:rsidRPr="00234C19">
        <w:rPr>
          <w:b/>
          <w:szCs w:val="28"/>
        </w:rPr>
        <w:t>"РПБ"</w:t>
      </w:r>
      <w:r w:rsidR="007F7F35">
        <w:rPr>
          <w:b/>
          <w:szCs w:val="28"/>
        </w:rPr>
        <w:t xml:space="preserve"> до ГРЩ "Контейнерный терминал"</w:t>
      </w:r>
    </w:p>
    <w:p w:rsidR="00234C19" w:rsidRDefault="00234C19" w:rsidP="00234C19">
      <w:pPr>
        <w:pStyle w:val="1"/>
        <w:spacing w:line="276" w:lineRule="auto"/>
        <w:ind w:firstLine="0"/>
        <w:jc w:val="center"/>
        <w:rPr>
          <w:b/>
          <w:bCs/>
          <w:szCs w:val="28"/>
        </w:rPr>
      </w:pPr>
      <w:r w:rsidRPr="00234C19">
        <w:rPr>
          <w:b/>
          <w:szCs w:val="28"/>
        </w:rPr>
        <w:t>г. Архангельск</w:t>
      </w:r>
      <w:r w:rsidRPr="00234C19">
        <w:rPr>
          <w:b/>
          <w:bCs/>
          <w:szCs w:val="28"/>
        </w:rPr>
        <w:t>»</w:t>
      </w:r>
    </w:p>
    <w:p w:rsidR="007F7F35" w:rsidRDefault="007F7F35" w:rsidP="00234C19">
      <w:pPr>
        <w:pStyle w:val="1"/>
        <w:spacing w:line="276" w:lineRule="auto"/>
        <w:ind w:firstLine="0"/>
        <w:jc w:val="center"/>
        <w:rPr>
          <w:b/>
          <w:bCs/>
          <w:szCs w:val="28"/>
        </w:rPr>
      </w:pPr>
    </w:p>
    <w:p w:rsidR="007F7F35" w:rsidRPr="007F7F35" w:rsidRDefault="007F7F35" w:rsidP="007F7F35">
      <w:pPr>
        <w:pStyle w:val="1"/>
        <w:numPr>
          <w:ilvl w:val="0"/>
          <w:numId w:val="6"/>
        </w:numPr>
        <w:spacing w:line="276" w:lineRule="auto"/>
        <w:ind w:left="0" w:firstLine="426"/>
        <w:rPr>
          <w:b/>
          <w:bCs/>
          <w:szCs w:val="28"/>
        </w:rPr>
      </w:pPr>
      <w:r w:rsidRPr="007F7F35">
        <w:rPr>
          <w:szCs w:val="28"/>
        </w:rPr>
        <w:t xml:space="preserve">В документации о закупке </w:t>
      </w:r>
      <w:r w:rsidRPr="007F7F35">
        <w:rPr>
          <w:bCs/>
          <w:szCs w:val="28"/>
        </w:rPr>
        <w:t>п</w:t>
      </w:r>
      <w:r w:rsidRPr="007F7F35">
        <w:rPr>
          <w:szCs w:val="28"/>
        </w:rPr>
        <w:t xml:space="preserve">ункт </w:t>
      </w:r>
      <w:r>
        <w:rPr>
          <w:szCs w:val="28"/>
        </w:rPr>
        <w:t>7</w:t>
      </w:r>
      <w:r w:rsidRPr="007F7F35">
        <w:rPr>
          <w:szCs w:val="28"/>
        </w:rPr>
        <w:t xml:space="preserve"> раздела 5 «Информационная карта»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7200"/>
      </w:tblGrid>
      <w:tr w:rsidR="007F7F35" w:rsidTr="007F7F35">
        <w:tc>
          <w:tcPr>
            <w:tcW w:w="567" w:type="dxa"/>
          </w:tcPr>
          <w:p w:rsidR="007F7F35" w:rsidRPr="007F7F35" w:rsidRDefault="007F7F35" w:rsidP="008F15AC">
            <w:pPr>
              <w:pStyle w:val="1"/>
              <w:ind w:left="-57" w:right="-108" w:firstLine="0"/>
              <w:rPr>
                <w:b/>
                <w:szCs w:val="28"/>
              </w:rPr>
            </w:pPr>
            <w:r w:rsidRPr="007F7F35">
              <w:rPr>
                <w:b/>
                <w:szCs w:val="28"/>
              </w:rPr>
              <w:t>«</w:t>
            </w:r>
            <w:r w:rsidRPr="007F7F35">
              <w:rPr>
                <w:b/>
                <w:szCs w:val="28"/>
              </w:rPr>
              <w:t>7.</w:t>
            </w:r>
          </w:p>
        </w:tc>
        <w:tc>
          <w:tcPr>
            <w:tcW w:w="1985" w:type="dxa"/>
          </w:tcPr>
          <w:p w:rsidR="007F7F35" w:rsidRPr="007F7F35" w:rsidRDefault="007F7F35" w:rsidP="008F15AC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7F7F35">
              <w:rPr>
                <w:b/>
                <w:color w:val="auto"/>
                <w:sz w:val="28"/>
                <w:szCs w:val="28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:rsidR="007F7F35" w:rsidRPr="007F7F35" w:rsidRDefault="007F7F35" w:rsidP="007F7F35">
            <w:pPr>
              <w:pStyle w:val="1"/>
              <w:ind w:firstLine="397"/>
              <w:rPr>
                <w:b/>
                <w:szCs w:val="28"/>
              </w:rPr>
            </w:pPr>
            <w:r w:rsidRPr="007F7F35">
              <w:rPr>
                <w:szCs w:val="28"/>
              </w:rPr>
              <w:t xml:space="preserve">Заявки принимаются через ЭТП, информация по которой указана в пункте 4 Информационной карты </w:t>
            </w:r>
            <w:proofErr w:type="gramStart"/>
            <w:r w:rsidRPr="007F7F35">
              <w:rPr>
                <w:szCs w:val="28"/>
              </w:rPr>
              <w:t>с даты опубликования</w:t>
            </w:r>
            <w:proofErr w:type="gramEnd"/>
            <w:r w:rsidRPr="007F7F35">
              <w:rPr>
                <w:szCs w:val="28"/>
              </w:rPr>
              <w:t xml:space="preserve"> Открытого конкурса и до «</w:t>
            </w:r>
            <w:r w:rsidRPr="007F7F35">
              <w:rPr>
                <w:szCs w:val="28"/>
              </w:rPr>
              <w:t>01</w:t>
            </w:r>
            <w:r w:rsidRPr="007F7F35">
              <w:rPr>
                <w:szCs w:val="28"/>
              </w:rPr>
              <w:t xml:space="preserve">» </w:t>
            </w:r>
            <w:r w:rsidRPr="007F7F35">
              <w:rPr>
                <w:szCs w:val="28"/>
              </w:rPr>
              <w:t>июня</w:t>
            </w:r>
            <w:r w:rsidRPr="007F7F35">
              <w:rPr>
                <w:szCs w:val="28"/>
              </w:rPr>
              <w:t xml:space="preserve"> 2021 г. 14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</w:t>
            </w:r>
            <w:proofErr w:type="gramStart"/>
            <w:r w:rsidRPr="007F7F35">
              <w:rPr>
                <w:szCs w:val="28"/>
              </w:rPr>
              <w:t>.</w:t>
            </w:r>
            <w:r w:rsidRPr="007F7F35">
              <w:rPr>
                <w:szCs w:val="28"/>
              </w:rPr>
              <w:t>»</w:t>
            </w:r>
            <w:proofErr w:type="gramEnd"/>
          </w:p>
        </w:tc>
      </w:tr>
    </w:tbl>
    <w:p w:rsidR="00234C19" w:rsidRDefault="00234C19"/>
    <w:p w:rsidR="00234C19" w:rsidRPr="007F7F35" w:rsidRDefault="00234C19" w:rsidP="007F7F35">
      <w:pPr>
        <w:pStyle w:val="ac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7F35">
        <w:rPr>
          <w:rFonts w:ascii="Times New Roman" w:hAnsi="Times New Roman" w:cs="Times New Roman"/>
          <w:sz w:val="28"/>
          <w:szCs w:val="28"/>
        </w:rPr>
        <w:t xml:space="preserve">В документации о закупке </w:t>
      </w:r>
      <w:r w:rsidRPr="007F7F35">
        <w:rPr>
          <w:rFonts w:ascii="Times New Roman" w:hAnsi="Times New Roman" w:cs="Times New Roman"/>
          <w:bCs/>
          <w:sz w:val="28"/>
          <w:szCs w:val="28"/>
        </w:rPr>
        <w:t>п</w:t>
      </w:r>
      <w:r w:rsidRPr="007F7F35">
        <w:rPr>
          <w:rFonts w:ascii="Times New Roman" w:hAnsi="Times New Roman" w:cs="Times New Roman"/>
          <w:sz w:val="28"/>
          <w:szCs w:val="28"/>
        </w:rPr>
        <w:t xml:space="preserve">ункт </w:t>
      </w:r>
      <w:r w:rsidR="007F7F35">
        <w:rPr>
          <w:rFonts w:ascii="Times New Roman" w:hAnsi="Times New Roman" w:cs="Times New Roman"/>
          <w:sz w:val="28"/>
          <w:szCs w:val="28"/>
        </w:rPr>
        <w:t>17</w:t>
      </w:r>
      <w:r w:rsidRPr="007F7F35">
        <w:rPr>
          <w:rFonts w:ascii="Times New Roman" w:hAnsi="Times New Roman" w:cs="Times New Roman"/>
          <w:sz w:val="28"/>
          <w:szCs w:val="28"/>
        </w:rPr>
        <w:t xml:space="preserve"> раздела 5 «Информационная карта»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7200"/>
      </w:tblGrid>
      <w:tr w:rsidR="00234C19" w:rsidRPr="007F7F35" w:rsidTr="007F7F35">
        <w:tc>
          <w:tcPr>
            <w:tcW w:w="567" w:type="dxa"/>
          </w:tcPr>
          <w:p w:rsidR="00234C19" w:rsidRPr="007F7F35" w:rsidRDefault="007F7F35" w:rsidP="008F15AC">
            <w:pPr>
              <w:pStyle w:val="1"/>
              <w:ind w:left="-57" w:right="-108" w:firstLine="0"/>
              <w:rPr>
                <w:b/>
                <w:szCs w:val="28"/>
              </w:rPr>
            </w:pPr>
            <w:r w:rsidRPr="007F7F35">
              <w:rPr>
                <w:b/>
                <w:szCs w:val="28"/>
              </w:rPr>
              <w:t>«</w:t>
            </w:r>
            <w:r w:rsidR="00234C19" w:rsidRPr="007F7F35">
              <w:rPr>
                <w:b/>
                <w:szCs w:val="28"/>
              </w:rPr>
              <w:t>17.</w:t>
            </w:r>
          </w:p>
        </w:tc>
        <w:tc>
          <w:tcPr>
            <w:tcW w:w="1985" w:type="dxa"/>
          </w:tcPr>
          <w:p w:rsidR="00234C19" w:rsidRPr="007F7F35" w:rsidRDefault="00234C19" w:rsidP="008F15AC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7F7F35">
              <w:rPr>
                <w:b/>
                <w:color w:val="auto"/>
                <w:sz w:val="28"/>
                <w:szCs w:val="28"/>
              </w:rPr>
              <w:t xml:space="preserve">Требования, предъявляемые к претендентам и Заявке на участие в Открытом конкурсе </w:t>
            </w:r>
          </w:p>
        </w:tc>
        <w:tc>
          <w:tcPr>
            <w:tcW w:w="7200" w:type="dxa"/>
          </w:tcPr>
          <w:p w:rsidR="00234C19" w:rsidRPr="007F7F35" w:rsidRDefault="00234C19" w:rsidP="00234C19">
            <w:pPr>
              <w:pStyle w:val="ac"/>
              <w:numPr>
                <w:ilvl w:val="0"/>
                <w:numId w:val="3"/>
              </w:numPr>
              <w:suppressAutoHyphens/>
              <w:ind w:left="175" w:hanging="218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Помимо указанных в пунктах 2.1 и 2.2 настоящей документации о закупке требований к претенденту/участнику предъявляются следующие требования:</w:t>
            </w:r>
          </w:p>
          <w:p w:rsidR="00234C19" w:rsidRPr="007F7F35" w:rsidRDefault="00234C19" w:rsidP="00234C19">
            <w:pPr>
              <w:pStyle w:val="ac"/>
              <w:numPr>
                <w:ilvl w:val="1"/>
                <w:numId w:val="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деятельность участника не должна быть приостановлена в порядке, предусмотренном Кодексом Российской Федерации об административных правонарушениях, на день подачи Заявки;</w:t>
            </w:r>
          </w:p>
          <w:p w:rsidR="00234C19" w:rsidRPr="007F7F35" w:rsidRDefault="00234C19" w:rsidP="00234C19">
            <w:pPr>
              <w:pStyle w:val="ac"/>
              <w:numPr>
                <w:ilvl w:val="1"/>
                <w:numId w:val="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отсутствие за последние три года просроченной задолженности перед ПАО «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ТрансКонтейнер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», фактов невыполнения обязательств перед ПАО «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ТрансКонтейнер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» и причинения вреда имуществу </w:t>
            </w:r>
            <w:r w:rsidRPr="007F7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ПАО «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ТрансКонтейнер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34C19" w:rsidRPr="007F7F35" w:rsidRDefault="00234C19" w:rsidP="00234C19">
            <w:pPr>
              <w:pStyle w:val="ac"/>
              <w:numPr>
                <w:ilvl w:val="1"/>
                <w:numId w:val="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претендент должен иметь квалифицированный персонал;</w:t>
            </w:r>
          </w:p>
          <w:p w:rsidR="00234C19" w:rsidRPr="007F7F35" w:rsidRDefault="00234C19" w:rsidP="00234C19">
            <w:pPr>
              <w:pStyle w:val="ac"/>
              <w:numPr>
                <w:ilvl w:val="1"/>
                <w:numId w:val="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претендент должен иметь свидетельство СРО на осуществление деятельности в рамках открытого конкурса.</w:t>
            </w:r>
          </w:p>
          <w:p w:rsidR="00234C19" w:rsidRPr="007F7F35" w:rsidRDefault="00234C19" w:rsidP="00234C19">
            <w:pPr>
              <w:pStyle w:val="ac"/>
              <w:numPr>
                <w:ilvl w:val="0"/>
                <w:numId w:val="3"/>
              </w:numPr>
              <w:suppressAutoHyphens/>
              <w:ind w:left="175" w:hanging="218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Претендент, помимо документов, указанных в пункте 2.3 настоящей документации о закупке, в составе Заявки должен </w:t>
            </w:r>
            <w:proofErr w:type="gram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предоставить следующие документы</w:t>
            </w:r>
            <w:proofErr w:type="gram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34C19" w:rsidRPr="007F7F35" w:rsidRDefault="00234C19" w:rsidP="00234C19">
            <w:pPr>
              <w:pStyle w:val="ac"/>
              <w:numPr>
                <w:ilvl w:val="1"/>
                <w:numId w:val="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освобождения;</w:t>
            </w:r>
          </w:p>
          <w:p w:rsidR="00234C19" w:rsidRPr="007F7F35" w:rsidRDefault="00234C19" w:rsidP="00234C19">
            <w:pPr>
              <w:pStyle w:val="ac"/>
              <w:numPr>
                <w:ilvl w:val="1"/>
                <w:numId w:val="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</w:t>
            </w:r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</w:t>
            </w: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nalog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zd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</w:t>
            </w:r>
            <w:proofErr w:type="gram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</w:t>
            </w:r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</w:t>
            </w: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nalog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zd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) (далее в протоколах и иных документах - Информация о наличии/отсутствии у</w:t>
            </w:r>
            <w:proofErr w:type="gram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претендента задолженности по уплате налогов, сборов и представленной налоговой отчетности);</w:t>
            </w:r>
          </w:p>
          <w:p w:rsidR="00234C19" w:rsidRPr="007F7F35" w:rsidRDefault="00234C19" w:rsidP="00234C19">
            <w:pPr>
              <w:pStyle w:val="ac"/>
              <w:numPr>
                <w:ilvl w:val="1"/>
                <w:numId w:val="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в подтверждение соответствия требованиям, установленным частью  «а» и «г» пункта 2.1 </w:t>
            </w:r>
            <w:r w:rsidRPr="007F7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документации о закупке, и отсутствия административных производств, в том числе о 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неприостановлении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</w:t>
            </w:r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fssprus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iss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), а также информации в едином</w:t>
            </w:r>
            <w:proofErr w:type="gram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федеральном </w:t>
            </w:r>
            <w:proofErr w:type="gram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реестре</w:t>
            </w:r>
            <w:proofErr w:type="gram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 значимых сведений о фактах деятельности юридических лиц, индивидуальных предпринимателей и иных субъектов экономической деятельности </w:t>
            </w:r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fedresurs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</w:t>
            </w:r>
            <w:proofErr w:type="gram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неприостановлении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(«поиск сведений») (далее в протоколах и иных документах - Информация о наличии исполнительных</w:t>
            </w:r>
            <w:proofErr w:type="gram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 и/или 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неприостановлении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деятельности);</w:t>
            </w:r>
          </w:p>
          <w:p w:rsidR="00234C19" w:rsidRPr="007F7F35" w:rsidRDefault="00234C19" w:rsidP="00234C19">
            <w:pPr>
              <w:pStyle w:val="ac"/>
              <w:numPr>
                <w:ilvl w:val="1"/>
                <w:numId w:val="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(например, при применении в отношении участника иного режима налогообложения) применяемую претендентом </w:t>
            </w:r>
            <w:r w:rsidRPr="007F7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отчетность,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претендента;</w:t>
            </w:r>
          </w:p>
          <w:p w:rsidR="00234C19" w:rsidRPr="007F7F35" w:rsidRDefault="00234C19" w:rsidP="00234C19">
            <w:pPr>
              <w:pStyle w:val="ac"/>
              <w:numPr>
                <w:ilvl w:val="1"/>
                <w:numId w:val="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сведения о производственном персонале по форме приложения № 6 к документации о закупке;</w:t>
            </w:r>
          </w:p>
          <w:p w:rsidR="00234C19" w:rsidRPr="007F7F35" w:rsidRDefault="00234C19" w:rsidP="00234C19">
            <w:pPr>
              <w:pStyle w:val="ac"/>
              <w:numPr>
                <w:ilvl w:val="1"/>
                <w:numId w:val="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заверенные копии документов подтверждающих аттестацию одного из работников, указанных в сведениях о производственном персонале по форме приложения № 6 к документации о закупке, по области промышленной  безопасности</w:t>
            </w:r>
            <w:proofErr w:type="gram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«Общие требования в области промышленной безопасности»</w:t>
            </w: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4C19" w:rsidRPr="007F7F35" w:rsidRDefault="00234C19" w:rsidP="00234C19">
            <w:pPr>
              <w:pStyle w:val="ac"/>
              <w:numPr>
                <w:ilvl w:val="1"/>
                <w:numId w:val="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заверенные копии удостоверения  одного специалиста, допущенного в качестве административно-технического персонала к работам в электроустановках до 1000</w:t>
            </w:r>
            <w:proofErr w:type="gram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с группой по 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электробезопасности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не ниже </w:t>
            </w:r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приложения № 6;</w:t>
            </w:r>
          </w:p>
          <w:p w:rsidR="00234C19" w:rsidRPr="007F7F35" w:rsidRDefault="00234C19" w:rsidP="00234C19">
            <w:pPr>
              <w:pStyle w:val="ac"/>
              <w:numPr>
                <w:ilvl w:val="1"/>
                <w:numId w:val="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заверенные копии удостоверения одного специалиста, допущенного в качестве оперативно-ремонтного персонала к работам в электроустановках до 1000</w:t>
            </w:r>
            <w:proofErr w:type="gram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с группой по </w:t>
            </w:r>
            <w:proofErr w:type="spell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электробезопасности</w:t>
            </w:r>
            <w:proofErr w:type="spellEnd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не ниже </w:t>
            </w:r>
            <w:r w:rsidRPr="007F7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приложения № 6;</w:t>
            </w:r>
          </w:p>
          <w:p w:rsidR="00234C19" w:rsidRPr="007F7F35" w:rsidRDefault="00234C19" w:rsidP="00234C19">
            <w:pPr>
              <w:pStyle w:val="ac"/>
              <w:numPr>
                <w:ilvl w:val="1"/>
                <w:numId w:val="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заверенная копия свидетельства СРО о допуске по осуществлению работ по предмету закупки;</w:t>
            </w:r>
          </w:p>
          <w:p w:rsidR="00234C19" w:rsidRPr="007F7F35" w:rsidRDefault="00234C19" w:rsidP="00234C19">
            <w:pPr>
              <w:pStyle w:val="ac"/>
              <w:numPr>
                <w:ilvl w:val="1"/>
                <w:numId w:val="3"/>
              </w:numPr>
              <w:suppressAutoHyphens/>
              <w:ind w:left="601" w:hanging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сведения о планируемых к привлечению субподрядных организациях по форме Приложения № 5 к документации о закупке (предоставляется претендентом в случае привлечения субподрядных организаций)</w:t>
            </w:r>
            <w:proofErr w:type="gramStart"/>
            <w:r w:rsidRPr="007F7F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7F35" w:rsidRPr="007F7F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</w:tr>
    </w:tbl>
    <w:p w:rsidR="007F7F35" w:rsidRPr="007F7F35" w:rsidRDefault="007F7F35" w:rsidP="007F7F3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7F35">
        <w:rPr>
          <w:rFonts w:ascii="Times New Roman" w:hAnsi="Times New Roman" w:cs="Times New Roman"/>
          <w:sz w:val="28"/>
          <w:szCs w:val="28"/>
        </w:rPr>
        <w:lastRenderedPageBreak/>
        <w:t>Далее по тексту.</w:t>
      </w:r>
    </w:p>
    <w:p w:rsidR="007F7F35" w:rsidRPr="007F7F35" w:rsidRDefault="007F7F35" w:rsidP="007F7F35">
      <w:pPr>
        <w:tabs>
          <w:tab w:val="left" w:pos="-4140"/>
          <w:tab w:val="left" w:pos="2160"/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7F35" w:rsidRPr="007F7F35" w:rsidRDefault="007F7F35" w:rsidP="007F7F35">
      <w:pPr>
        <w:tabs>
          <w:tab w:val="left" w:pos="-4140"/>
          <w:tab w:val="left" w:pos="2160"/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7F35" w:rsidRPr="007F7F35" w:rsidRDefault="007F7F35" w:rsidP="00BC6676">
      <w:pPr>
        <w:rPr>
          <w:rFonts w:ascii="Times New Roman" w:hAnsi="Times New Roman" w:cs="Times New Roman"/>
          <w:sz w:val="28"/>
          <w:szCs w:val="28"/>
        </w:rPr>
      </w:pPr>
      <w:r w:rsidRPr="007F7F35">
        <w:rPr>
          <w:rFonts w:ascii="Times New Roman" w:hAnsi="Times New Roman" w:cs="Times New Roman"/>
          <w:sz w:val="28"/>
          <w:szCs w:val="28"/>
        </w:rPr>
        <w:t>Председатель Конкурсной комиссии</w:t>
      </w:r>
    </w:p>
    <w:p w:rsidR="007F7F35" w:rsidRPr="007F7F35" w:rsidRDefault="007F7F35" w:rsidP="00BC6676">
      <w:pPr>
        <w:rPr>
          <w:rFonts w:ascii="Times New Roman" w:hAnsi="Times New Roman" w:cs="Times New Roman"/>
          <w:sz w:val="28"/>
          <w:szCs w:val="28"/>
        </w:rPr>
      </w:pPr>
      <w:r w:rsidRPr="007F7F35">
        <w:rPr>
          <w:rFonts w:ascii="Times New Roman" w:hAnsi="Times New Roman" w:cs="Times New Roman"/>
          <w:sz w:val="28"/>
          <w:szCs w:val="28"/>
        </w:rPr>
        <w:t>Филиала ПАО «</w:t>
      </w:r>
      <w:proofErr w:type="spellStart"/>
      <w:r w:rsidRPr="007F7F35"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 w:rsidRPr="007F7F35">
        <w:rPr>
          <w:rFonts w:ascii="Times New Roman" w:hAnsi="Times New Roman" w:cs="Times New Roman"/>
          <w:sz w:val="28"/>
          <w:szCs w:val="28"/>
        </w:rPr>
        <w:t>»</w:t>
      </w:r>
      <w:r w:rsidRPr="007F7F3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7F7F35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7F7F35">
        <w:rPr>
          <w:rFonts w:ascii="Times New Roman" w:hAnsi="Times New Roman" w:cs="Times New Roman"/>
          <w:sz w:val="28"/>
          <w:szCs w:val="28"/>
        </w:rPr>
        <w:tab/>
      </w:r>
      <w:r w:rsidRPr="007F7F35">
        <w:rPr>
          <w:rFonts w:ascii="Times New Roman" w:hAnsi="Times New Roman" w:cs="Times New Roman"/>
          <w:sz w:val="28"/>
          <w:szCs w:val="28"/>
        </w:rPr>
        <w:tab/>
        <w:t xml:space="preserve">М.Р. Гончаров </w:t>
      </w:r>
    </w:p>
    <w:p w:rsidR="007F7F35" w:rsidRPr="007F7F35" w:rsidRDefault="007F7F35" w:rsidP="00BC6676">
      <w:pPr>
        <w:rPr>
          <w:rFonts w:ascii="Times New Roman" w:hAnsi="Times New Roman" w:cs="Times New Roman"/>
          <w:sz w:val="28"/>
          <w:szCs w:val="28"/>
        </w:rPr>
      </w:pPr>
      <w:r w:rsidRPr="007F7F35">
        <w:rPr>
          <w:rFonts w:ascii="Times New Roman" w:hAnsi="Times New Roman" w:cs="Times New Roman"/>
          <w:sz w:val="28"/>
          <w:szCs w:val="28"/>
        </w:rPr>
        <w:t>на  Северной железной дороге</w:t>
      </w:r>
    </w:p>
    <w:p w:rsidR="00234C19" w:rsidRPr="007F7F35" w:rsidRDefault="00234C19" w:rsidP="00BC6676">
      <w:pPr>
        <w:rPr>
          <w:rFonts w:ascii="Times New Roman" w:hAnsi="Times New Roman" w:cs="Times New Roman"/>
          <w:sz w:val="28"/>
          <w:szCs w:val="28"/>
        </w:rPr>
      </w:pPr>
    </w:p>
    <w:sectPr w:rsidR="00234C19" w:rsidRPr="007F7F35" w:rsidSect="005D1D39">
      <w:headerReference w:type="default" r:id="rId8"/>
      <w:headerReference w:type="first" r:id="rId9"/>
      <w:pgSz w:w="11900" w:h="16840"/>
      <w:pgMar w:top="567" w:right="851" w:bottom="851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179" w:rsidRDefault="00571179" w:rsidP="00D10DC0">
      <w:r>
        <w:separator/>
      </w:r>
    </w:p>
  </w:endnote>
  <w:endnote w:type="continuationSeparator" w:id="0">
    <w:p w:rsidR="00571179" w:rsidRDefault="00571179" w:rsidP="00D10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179" w:rsidRDefault="00571179" w:rsidP="00D10DC0">
      <w:r>
        <w:separator/>
      </w:r>
    </w:p>
  </w:footnote>
  <w:footnote w:type="continuationSeparator" w:id="0">
    <w:p w:rsidR="00571179" w:rsidRDefault="00571179" w:rsidP="00D10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EF" w:rsidRDefault="00B352EF" w:rsidP="0032466E">
    <w:pPr>
      <w:pStyle w:val="a3"/>
      <w:rPr>
        <w:noProof/>
        <w:lang w:eastAsia="ru-RU"/>
      </w:rPr>
    </w:pPr>
  </w:p>
  <w:p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D39" w:rsidRPr="005D1D39" w:rsidRDefault="005D1D39" w:rsidP="005D1D39">
    <w:pPr>
      <w:pStyle w:val="a3"/>
      <w:rPr>
        <w:szCs w:val="16"/>
      </w:rPr>
    </w:pPr>
    <w:r>
      <w:rPr>
        <w:noProof/>
        <w:szCs w:val="16"/>
        <w:lang w:eastAsia="ru-RU"/>
      </w:rPr>
      <w:drawing>
        <wp:anchor distT="0" distB="0" distL="720090" distR="720090" simplePos="0" relativeHeight="251658240" behindDoc="0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3810</wp:posOffset>
          </wp:positionV>
          <wp:extent cx="2590800" cy="1524000"/>
          <wp:effectExtent l="19050" t="0" r="0" b="0"/>
          <wp:wrapSquare wrapText="righ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32DA07B4"/>
    <w:multiLevelType w:val="hybridMultilevel"/>
    <w:tmpl w:val="424828C2"/>
    <w:lvl w:ilvl="0" w:tplc="FAA8C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35C9E"/>
    <w:multiLevelType w:val="hybridMultilevel"/>
    <w:tmpl w:val="51D6E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D09D3"/>
    <w:multiLevelType w:val="hybridMultilevel"/>
    <w:tmpl w:val="30C422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FC03666"/>
    <w:multiLevelType w:val="hybridMultilevel"/>
    <w:tmpl w:val="38B27AB4"/>
    <w:lvl w:ilvl="0" w:tplc="ABBCD7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10DC0"/>
    <w:rsid w:val="000125B8"/>
    <w:rsid w:val="000A1776"/>
    <w:rsid w:val="000E79F2"/>
    <w:rsid w:val="00160BB9"/>
    <w:rsid w:val="001C13A2"/>
    <w:rsid w:val="001D2CE9"/>
    <w:rsid w:val="002115BC"/>
    <w:rsid w:val="00221D26"/>
    <w:rsid w:val="00234C19"/>
    <w:rsid w:val="002A1994"/>
    <w:rsid w:val="002E73BF"/>
    <w:rsid w:val="00317B6A"/>
    <w:rsid w:val="0032466E"/>
    <w:rsid w:val="00370B19"/>
    <w:rsid w:val="003A51B8"/>
    <w:rsid w:val="003F0C6B"/>
    <w:rsid w:val="00427893"/>
    <w:rsid w:val="00482E3B"/>
    <w:rsid w:val="00484A8C"/>
    <w:rsid w:val="004B5E7E"/>
    <w:rsid w:val="004B6763"/>
    <w:rsid w:val="004C25FC"/>
    <w:rsid w:val="004E1B85"/>
    <w:rsid w:val="004F28F2"/>
    <w:rsid w:val="004F7FE5"/>
    <w:rsid w:val="00542824"/>
    <w:rsid w:val="00571179"/>
    <w:rsid w:val="00581E94"/>
    <w:rsid w:val="0058779A"/>
    <w:rsid w:val="005A05AD"/>
    <w:rsid w:val="005A66C3"/>
    <w:rsid w:val="005C44C3"/>
    <w:rsid w:val="005C7297"/>
    <w:rsid w:val="005D1D39"/>
    <w:rsid w:val="005F5835"/>
    <w:rsid w:val="00613088"/>
    <w:rsid w:val="00631F3C"/>
    <w:rsid w:val="00635A51"/>
    <w:rsid w:val="006822BB"/>
    <w:rsid w:val="007254C9"/>
    <w:rsid w:val="00757368"/>
    <w:rsid w:val="00761FA7"/>
    <w:rsid w:val="00793843"/>
    <w:rsid w:val="00796117"/>
    <w:rsid w:val="007B2399"/>
    <w:rsid w:val="007F7F35"/>
    <w:rsid w:val="0080131F"/>
    <w:rsid w:val="008873FD"/>
    <w:rsid w:val="008A3176"/>
    <w:rsid w:val="008D21BB"/>
    <w:rsid w:val="008F3CD2"/>
    <w:rsid w:val="0095328E"/>
    <w:rsid w:val="00954544"/>
    <w:rsid w:val="009A7AA4"/>
    <w:rsid w:val="009C26DF"/>
    <w:rsid w:val="009E4016"/>
    <w:rsid w:val="00A00FC3"/>
    <w:rsid w:val="00A02E0C"/>
    <w:rsid w:val="00A87158"/>
    <w:rsid w:val="00AE2FEE"/>
    <w:rsid w:val="00B31B41"/>
    <w:rsid w:val="00B352EF"/>
    <w:rsid w:val="00B979AB"/>
    <w:rsid w:val="00BA2029"/>
    <w:rsid w:val="00BB7D7B"/>
    <w:rsid w:val="00BC6676"/>
    <w:rsid w:val="00BD0253"/>
    <w:rsid w:val="00BE3B77"/>
    <w:rsid w:val="00C044E9"/>
    <w:rsid w:val="00C52ACD"/>
    <w:rsid w:val="00C62C46"/>
    <w:rsid w:val="00CE757D"/>
    <w:rsid w:val="00D10DC0"/>
    <w:rsid w:val="00D31B5C"/>
    <w:rsid w:val="00D8479D"/>
    <w:rsid w:val="00DA2F1A"/>
    <w:rsid w:val="00E810AE"/>
    <w:rsid w:val="00E97462"/>
    <w:rsid w:val="00ED0B28"/>
    <w:rsid w:val="00EE1976"/>
    <w:rsid w:val="00F231B8"/>
    <w:rsid w:val="00F34CA2"/>
    <w:rsid w:val="00F43CAF"/>
    <w:rsid w:val="00F61612"/>
    <w:rsid w:val="00F730C4"/>
    <w:rsid w:val="00F83947"/>
    <w:rsid w:val="00FC3F5D"/>
    <w:rsid w:val="00FC4998"/>
    <w:rsid w:val="00FF042B"/>
    <w:rsid w:val="00FF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FC49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1D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1D39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CharChar"/>
    <w:rsid w:val="00234C19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"/>
    <w:locked/>
    <w:rsid w:val="00234C19"/>
    <w:rPr>
      <w:rFonts w:ascii="Times New Roman" w:eastAsia="Arial" w:hAnsi="Times New Roman" w:cs="Times New Roman"/>
      <w:sz w:val="28"/>
      <w:szCs w:val="20"/>
      <w:lang w:eastAsia="ar-SA"/>
    </w:rPr>
  </w:style>
  <w:style w:type="paragraph" w:styleId="ac">
    <w:name w:val="List Paragraph"/>
    <w:aliases w:val="Маркер,List Paragraph1,List Paragraph,название,Bullet List,FooterText,numbered,SL_Абзац списка,Bullet Number,Нумерованый список,lp1,Абзац списка4,f_Абзац 1,Абзац списка11,ПАРАГРАФ,Абзац списка3,Текстовая"/>
    <w:basedOn w:val="a"/>
    <w:uiPriority w:val="34"/>
    <w:qFormat/>
    <w:rsid w:val="00234C19"/>
    <w:pPr>
      <w:ind w:left="720"/>
      <w:contextualSpacing/>
    </w:pPr>
  </w:style>
  <w:style w:type="paragraph" w:customStyle="1" w:styleId="Default">
    <w:name w:val="Default"/>
    <w:rsid w:val="00234C19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C49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41E3F-B8E6-4D60-A5DC-7027AFBB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KriukovaKV</cp:lastModifiedBy>
  <cp:revision>6</cp:revision>
  <dcterms:created xsi:type="dcterms:W3CDTF">2020-12-24T06:54:00Z</dcterms:created>
  <dcterms:modified xsi:type="dcterms:W3CDTF">2021-05-24T05:25:00Z</dcterms:modified>
</cp:coreProperties>
</file>